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47" w:rsidRPr="00453A06" w:rsidRDefault="00D654D9" w:rsidP="00B4726B">
      <w:pPr>
        <w:jc w:val="center"/>
        <w:rPr>
          <w:rStyle w:val="Knyvcme"/>
          <w:sz w:val="24"/>
          <w:szCs w:val="24"/>
        </w:rPr>
      </w:pPr>
      <w:r>
        <w:rPr>
          <w:noProof/>
        </w:rPr>
        <w:drawing>
          <wp:inline distT="0" distB="0" distL="0" distR="0">
            <wp:extent cx="4314825" cy="16478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47" w:rsidRPr="00453A06" w:rsidRDefault="00C97947" w:rsidP="00B4726B">
      <w:pPr>
        <w:jc w:val="center"/>
        <w:rPr>
          <w:sz w:val="24"/>
          <w:szCs w:val="24"/>
        </w:rPr>
      </w:pPr>
    </w:p>
    <w:p w:rsidR="00C97947" w:rsidRPr="00453A06" w:rsidRDefault="00C97947" w:rsidP="00B4726B">
      <w:pPr>
        <w:jc w:val="center"/>
        <w:rPr>
          <w:sz w:val="24"/>
          <w:szCs w:val="24"/>
        </w:rPr>
      </w:pPr>
    </w:p>
    <w:p w:rsidR="00C97947" w:rsidRPr="00453A06" w:rsidRDefault="00C97947" w:rsidP="00B4726B">
      <w:pPr>
        <w:jc w:val="center"/>
        <w:rPr>
          <w:sz w:val="32"/>
          <w:szCs w:val="32"/>
        </w:rPr>
      </w:pPr>
    </w:p>
    <w:p w:rsidR="00C97947" w:rsidRPr="0005399C" w:rsidRDefault="00C97947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</w:pPr>
      <w:r w:rsidRPr="0005399C"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  <w:t xml:space="preserve">ÜZLETI </w:t>
      </w:r>
      <w:r w:rsidR="00623A3C" w:rsidRPr="0005399C"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  <w:t>JELENTÉS</w:t>
      </w:r>
    </w:p>
    <w:p w:rsidR="00C97947" w:rsidRPr="0005399C" w:rsidRDefault="00623A3C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</w:pPr>
      <w:r w:rsidRPr="0005399C"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  <w:t xml:space="preserve">a </w:t>
      </w:r>
      <w:r w:rsidR="00C97947" w:rsidRPr="0005399C"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  <w:t>201</w:t>
      </w:r>
      <w:r w:rsidR="00460C20" w:rsidRPr="0005399C"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  <w:t>8</w:t>
      </w:r>
      <w:r w:rsidRPr="0005399C">
        <w:rPr>
          <w:rFonts w:ascii="Times New Roman" w:hAnsi="Times New Roman"/>
          <w:b/>
          <w:i/>
          <w:color w:val="548DD4" w:themeColor="text2" w:themeTint="99"/>
          <w:sz w:val="44"/>
          <w:szCs w:val="44"/>
        </w:rPr>
        <w:t>. december 31-vel végződő évről</w:t>
      </w:r>
    </w:p>
    <w:p w:rsidR="006C64A2" w:rsidRPr="0005399C" w:rsidRDefault="006C64A2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C64A2" w:rsidRPr="0005399C" w:rsidRDefault="006C64A2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C64A2" w:rsidRPr="0005399C" w:rsidRDefault="006C64A2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05399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összeállította:</w:t>
      </w:r>
    </w:p>
    <w:p w:rsidR="006C64A2" w:rsidRPr="0005399C" w:rsidRDefault="006C64A2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05399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H</w:t>
      </w:r>
      <w:r w:rsidR="009A657A" w:rsidRPr="0005399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orváth</w:t>
      </w:r>
      <w:r w:rsidRPr="0005399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Tamás</w:t>
      </w:r>
      <w:r w:rsidR="00623A3C" w:rsidRPr="0005399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József</w:t>
      </w:r>
    </w:p>
    <w:p w:rsidR="006C64A2" w:rsidRPr="0005399C" w:rsidRDefault="006C64A2" w:rsidP="003228A0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05399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ügyvezető igazgató</w:t>
      </w:r>
    </w:p>
    <w:p w:rsidR="00C97947" w:rsidRPr="0005399C" w:rsidRDefault="00C97947">
      <w:pPr>
        <w:rPr>
          <w:color w:val="8DB3E2" w:themeColor="text2" w:themeTint="66"/>
          <w:sz w:val="24"/>
          <w:szCs w:val="24"/>
        </w:rPr>
      </w:pPr>
      <w:r w:rsidRPr="0005399C">
        <w:rPr>
          <w:color w:val="8DB3E2" w:themeColor="text2" w:themeTint="66"/>
          <w:sz w:val="24"/>
          <w:szCs w:val="24"/>
        </w:rPr>
        <w:br w:type="page"/>
      </w:r>
    </w:p>
    <w:p w:rsidR="00C97947" w:rsidRPr="00453A06" w:rsidRDefault="00C97947">
      <w:pPr>
        <w:pStyle w:val="Tartalomjegyzkcmsora"/>
      </w:pPr>
      <w:r w:rsidRPr="00453A06">
        <w:lastRenderedPageBreak/>
        <w:t>Tartalom</w:t>
      </w:r>
    </w:p>
    <w:p w:rsidR="00062911" w:rsidRDefault="00B851D8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r w:rsidRPr="00453A06">
        <w:rPr>
          <w:sz w:val="24"/>
          <w:szCs w:val="24"/>
        </w:rPr>
        <w:fldChar w:fldCharType="begin"/>
      </w:r>
      <w:r w:rsidR="00C97947" w:rsidRPr="00453A06">
        <w:rPr>
          <w:sz w:val="24"/>
          <w:szCs w:val="24"/>
        </w:rPr>
        <w:instrText xml:space="preserve"> TOC \o "1-3" \h \z \u </w:instrText>
      </w:r>
      <w:r w:rsidRPr="00453A06">
        <w:rPr>
          <w:sz w:val="24"/>
          <w:szCs w:val="24"/>
        </w:rPr>
        <w:fldChar w:fldCharType="separate"/>
      </w:r>
      <w:hyperlink w:anchor="_Toc511392619" w:history="1">
        <w:r w:rsidR="00062911" w:rsidRPr="00EE6465">
          <w:rPr>
            <w:rStyle w:val="Hiperhivatkozs"/>
            <w:noProof/>
          </w:rPr>
          <w:t>I. A vállalkozás általános bemutatása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_Toc511392619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3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0" w:history="1">
        <w:r w:rsidR="00062911" w:rsidRPr="00EE6465">
          <w:rPr>
            <w:rStyle w:val="Hiperhivatkozs"/>
            <w:noProof/>
          </w:rPr>
          <w:t>II. Gazdálkodási jellemzők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_Toc511392620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5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1" w:history="1">
        <w:r w:rsidR="00062911" w:rsidRPr="00EE6465">
          <w:rPr>
            <w:rStyle w:val="Hiperhivatkozs"/>
            <w:noProof/>
          </w:rPr>
          <w:t>III. Vagyoni helyzet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_Toc511392621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11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2" w:history="1">
        <w:r w:rsidR="00062911" w:rsidRPr="00EE6465">
          <w:rPr>
            <w:rStyle w:val="Hiperhivatkozs"/>
            <w:noProof/>
          </w:rPr>
          <w:t>IV. Kutatás, fejlesztés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_Toc511392622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13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3" w:history="1">
        <w:r w:rsidR="00062911" w:rsidRPr="00EE6465">
          <w:rPr>
            <w:rStyle w:val="Hiperhivatkozs"/>
            <w:noProof/>
          </w:rPr>
          <w:t>V. A mérleg fordulónapja után bekövetkező lényeges események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_Toc511392623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13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4" w:history="1">
        <w:r w:rsidR="00062911" w:rsidRPr="00EE6465">
          <w:rPr>
            <w:rStyle w:val="Hiperhivatkozs"/>
            <w:noProof/>
          </w:rPr>
          <w:t>VI. Pénzügyi helyzet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_Toc511392624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13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5" w:history="1">
        <w:r w:rsidR="00062911" w:rsidRPr="00EE6465">
          <w:rPr>
            <w:rStyle w:val="Hiperhivatkozs"/>
            <w:noProof/>
          </w:rPr>
          <w:t>VII. A vagyoni helyzet és tőkeszerkezet alakulása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_Toc511392625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14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6" w:history="1">
        <w:r w:rsidR="00062911" w:rsidRPr="00EE6465">
          <w:rPr>
            <w:rStyle w:val="Hiperhivatkozs"/>
            <w:noProof/>
            <w:lang w:eastAsia="hu-HU"/>
          </w:rPr>
          <w:t>VIII. Környezetvédelem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_Toc511392626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14</w:t>
        </w:r>
        <w:r w:rsidR="00062911">
          <w:rPr>
            <w:noProof/>
            <w:webHidden/>
          </w:rPr>
          <w:fldChar w:fldCharType="end"/>
        </w:r>
      </w:hyperlink>
    </w:p>
    <w:p w:rsidR="00062911" w:rsidRDefault="00C2191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511392627" w:history="1">
        <w:r w:rsidR="00062911" w:rsidRPr="00EE6465">
          <w:rPr>
            <w:rStyle w:val="Hiperhivatkozs"/>
            <w:noProof/>
          </w:rPr>
          <w:t>IX. Jövőkép</w:t>
        </w:r>
        <w:r w:rsidR="00062911">
          <w:rPr>
            <w:noProof/>
            <w:webHidden/>
          </w:rPr>
          <w:tab/>
        </w:r>
        <w:r w:rsidR="00062911">
          <w:rPr>
            <w:noProof/>
            <w:webHidden/>
          </w:rPr>
          <w:fldChar w:fldCharType="begin"/>
        </w:r>
        <w:r w:rsidR="00062911">
          <w:rPr>
            <w:noProof/>
            <w:webHidden/>
          </w:rPr>
          <w:instrText xml:space="preserve"> PAGEREF _Toc511392627 \h </w:instrText>
        </w:r>
        <w:r w:rsidR="00062911">
          <w:rPr>
            <w:noProof/>
            <w:webHidden/>
          </w:rPr>
        </w:r>
        <w:r w:rsidR="00062911">
          <w:rPr>
            <w:noProof/>
            <w:webHidden/>
          </w:rPr>
          <w:fldChar w:fldCharType="separate"/>
        </w:r>
        <w:r w:rsidR="004E235A">
          <w:rPr>
            <w:noProof/>
            <w:webHidden/>
          </w:rPr>
          <w:t>15</w:t>
        </w:r>
        <w:r w:rsidR="00062911">
          <w:rPr>
            <w:noProof/>
            <w:webHidden/>
          </w:rPr>
          <w:fldChar w:fldCharType="end"/>
        </w:r>
      </w:hyperlink>
    </w:p>
    <w:p w:rsidR="00C97947" w:rsidRPr="00453A06" w:rsidRDefault="00B851D8">
      <w:pPr>
        <w:rPr>
          <w:sz w:val="24"/>
          <w:szCs w:val="24"/>
        </w:rPr>
      </w:pPr>
      <w:r w:rsidRPr="00453A06">
        <w:rPr>
          <w:sz w:val="24"/>
          <w:szCs w:val="24"/>
        </w:rPr>
        <w:fldChar w:fldCharType="end"/>
      </w:r>
    </w:p>
    <w:p w:rsidR="00C97947" w:rsidRPr="00453A06" w:rsidRDefault="00C97947" w:rsidP="00604BD2">
      <w:pPr>
        <w:pStyle w:val="Cmsor1"/>
        <w:rPr>
          <w:color w:val="000000"/>
          <w:sz w:val="24"/>
          <w:szCs w:val="24"/>
        </w:rPr>
      </w:pPr>
    </w:p>
    <w:p w:rsidR="00C97947" w:rsidRPr="00CA6473" w:rsidRDefault="00C97947" w:rsidP="00E60C0C">
      <w:pPr>
        <w:pStyle w:val="Cmsor3"/>
      </w:pPr>
      <w:r w:rsidRPr="00453A06">
        <w:rPr>
          <w:color w:val="000000"/>
        </w:rPr>
        <w:br w:type="page"/>
      </w:r>
      <w:bookmarkStart w:id="0" w:name="_Toc511392619"/>
      <w:r w:rsidRPr="00CA6473">
        <w:lastRenderedPageBreak/>
        <w:t xml:space="preserve">I. A </w:t>
      </w:r>
      <w:r w:rsidR="00E60C0C">
        <w:t>vállalkozás</w:t>
      </w:r>
      <w:r w:rsidRPr="00CA6473">
        <w:t xml:space="preserve"> </w:t>
      </w:r>
      <w:r w:rsidR="00E60C0C">
        <w:t>általános</w:t>
      </w:r>
      <w:r w:rsidRPr="00CA6473">
        <w:t xml:space="preserve"> </w:t>
      </w:r>
      <w:r w:rsidR="00E60C0C">
        <w:t>bemutatása</w:t>
      </w:r>
      <w:bookmarkEnd w:id="0"/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/>
          <w:sz w:val="24"/>
          <w:szCs w:val="24"/>
        </w:rPr>
      </w:pPr>
    </w:p>
    <w:p w:rsidR="00C97947" w:rsidRPr="00B525C2" w:rsidRDefault="00C97947" w:rsidP="00B525C2">
      <w:pPr>
        <w:numPr>
          <w:ilvl w:val="1"/>
          <w:numId w:val="32"/>
        </w:numPr>
        <w:rPr>
          <w:rFonts w:ascii="Times New Roman" w:hAnsi="Times New Roman"/>
          <w:b/>
          <w:sz w:val="24"/>
          <w:szCs w:val="24"/>
        </w:rPr>
      </w:pPr>
      <w:r w:rsidRPr="00B525C2">
        <w:rPr>
          <w:rFonts w:ascii="Times New Roman" w:hAnsi="Times New Roman"/>
          <w:b/>
          <w:sz w:val="24"/>
          <w:szCs w:val="24"/>
        </w:rPr>
        <w:t>A vállalkozás alapadatai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cégneve:</w:t>
      </w:r>
      <w:r w:rsidRPr="00CA6473">
        <w:rPr>
          <w:rFonts w:ascii="Times New Roman" w:hAnsi="Times New Roman"/>
          <w:sz w:val="24"/>
          <w:szCs w:val="24"/>
        </w:rPr>
        <w:tab/>
      </w:r>
      <w:r w:rsidRPr="00460C20">
        <w:rPr>
          <w:rFonts w:ascii="Times New Roman" w:hAnsi="Times New Roman"/>
          <w:b/>
        </w:rPr>
        <w:t>Várpalotai Köz</w:t>
      </w:r>
      <w:r w:rsidR="00460C20" w:rsidRPr="00460C20">
        <w:rPr>
          <w:rFonts w:ascii="Times New Roman" w:hAnsi="Times New Roman"/>
          <w:b/>
        </w:rPr>
        <w:t>szolgáltató Nonprofit</w:t>
      </w:r>
      <w:r w:rsidRPr="00460C20">
        <w:rPr>
          <w:rFonts w:ascii="Times New Roman" w:hAnsi="Times New Roman"/>
          <w:b/>
        </w:rPr>
        <w:t xml:space="preserve"> Korlátolt Felelősségű</w:t>
      </w:r>
      <w:r w:rsidR="00460C20" w:rsidRPr="00460C20">
        <w:rPr>
          <w:rFonts w:ascii="Times New Roman" w:hAnsi="Times New Roman"/>
          <w:b/>
        </w:rPr>
        <w:t xml:space="preserve"> </w:t>
      </w:r>
      <w:r w:rsidRPr="00460C20">
        <w:rPr>
          <w:rFonts w:ascii="Times New Roman" w:hAnsi="Times New Roman"/>
          <w:b/>
        </w:rPr>
        <w:t>Társaság</w:t>
      </w:r>
    </w:p>
    <w:p w:rsidR="00DA7573" w:rsidRDefault="00DA7573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573" w:rsidRPr="00CA6473" w:rsidRDefault="00DA7573" w:rsidP="00DA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Társaság elnevezése 2018. január 1-ei hatállyal az 1/2018. (I.23.) képviselő-testületi határozat, illetve a 2018. január 30-án a Veszprémi Törvényszék Cégbíróságánál kelt végzés alapján </w:t>
      </w:r>
      <w:r w:rsidRPr="00DA7573">
        <w:rPr>
          <w:rFonts w:ascii="Times New Roman" w:eastAsia="Times New Roman" w:hAnsi="Times New Roman"/>
          <w:b/>
          <w:sz w:val="24"/>
          <w:szCs w:val="24"/>
          <w:lang w:eastAsia="hu-HU"/>
        </w:rPr>
        <w:t>Várpalotai Közszolgáltató Nonprofit Korlátolt Felelősségű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rövidített neve:</w:t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b/>
          <w:sz w:val="24"/>
          <w:szCs w:val="24"/>
        </w:rPr>
        <w:t>Várpalotai Köz</w:t>
      </w:r>
      <w:r w:rsidR="00460C20">
        <w:rPr>
          <w:rFonts w:ascii="Times New Roman" w:hAnsi="Times New Roman"/>
          <w:b/>
          <w:sz w:val="24"/>
          <w:szCs w:val="24"/>
        </w:rPr>
        <w:t>szolgáltató Nonprofit</w:t>
      </w:r>
      <w:r w:rsidRPr="00CA6473">
        <w:rPr>
          <w:rFonts w:ascii="Times New Roman" w:hAnsi="Times New Roman"/>
          <w:b/>
          <w:sz w:val="24"/>
          <w:szCs w:val="24"/>
        </w:rPr>
        <w:t xml:space="preserve"> Kft.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székhelye:</w:t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8100 Várpalota Fehérvári út 7.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telephelyei:</w:t>
      </w:r>
      <w:r w:rsidRPr="00CA6473">
        <w:rPr>
          <w:rFonts w:ascii="Times New Roman" w:hAnsi="Times New Roman"/>
          <w:sz w:val="24"/>
          <w:szCs w:val="24"/>
        </w:rPr>
        <w:tab/>
        <w:t>Városi Fűtőmű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8100 Várpalota Hétvezér u. 6.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473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="00CA6473" w:rsidRPr="00CA6473">
        <w:rPr>
          <w:rFonts w:ascii="Times New Roman" w:hAnsi="Times New Roman"/>
          <w:sz w:val="24"/>
          <w:szCs w:val="24"/>
        </w:rPr>
        <w:t>Fátyol Virágüzlet és Temetkezési Szolgáltatási Iroda</w:t>
      </w:r>
    </w:p>
    <w:p w:rsidR="00C97947" w:rsidRPr="00CA6473" w:rsidRDefault="00CA6473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8100 Várpalota Gárdonyi Géza út 36.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alapítója és 100%-os tulajdonosa:</w:t>
      </w:r>
      <w:r w:rsidRPr="00CA6473">
        <w:rPr>
          <w:rFonts w:ascii="Times New Roman" w:hAnsi="Times New Roman"/>
          <w:sz w:val="24"/>
          <w:szCs w:val="24"/>
        </w:rPr>
        <w:tab/>
        <w:t>Várpalota Város Önkormányzata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8100 Várpalota Gárdonyi Géza út 39.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megalakulásának időpontja:</w:t>
      </w:r>
      <w:r w:rsidRPr="00CA6473">
        <w:rPr>
          <w:rFonts w:ascii="Times New Roman" w:hAnsi="Times New Roman"/>
          <w:sz w:val="24"/>
          <w:szCs w:val="24"/>
        </w:rPr>
        <w:t xml:space="preserve"> </w:t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2000. január 10.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 xml:space="preserve">A társaság jegyzett tőkéje: </w:t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="00DA7573">
        <w:rPr>
          <w:rFonts w:ascii="Times New Roman" w:hAnsi="Times New Roman"/>
          <w:sz w:val="24"/>
          <w:szCs w:val="24"/>
        </w:rPr>
        <w:t>432</w:t>
      </w:r>
      <w:r w:rsidRPr="00CA6473">
        <w:rPr>
          <w:rFonts w:ascii="Times New Roman" w:hAnsi="Times New Roman"/>
          <w:sz w:val="24"/>
          <w:szCs w:val="24"/>
        </w:rPr>
        <w:t> </w:t>
      </w:r>
      <w:r w:rsidR="00DA7573">
        <w:rPr>
          <w:rFonts w:ascii="Times New Roman" w:hAnsi="Times New Roman"/>
          <w:sz w:val="24"/>
          <w:szCs w:val="24"/>
        </w:rPr>
        <w:t>450</w:t>
      </w:r>
      <w:r w:rsidRPr="00CA6473">
        <w:rPr>
          <w:rFonts w:ascii="Times New Roman" w:hAnsi="Times New Roman"/>
          <w:sz w:val="24"/>
          <w:szCs w:val="24"/>
        </w:rPr>
        <w:t> 000,- Ft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képviseletére jogosult személy</w:t>
      </w:r>
      <w:r w:rsidR="009A657A" w:rsidRPr="00CA6473">
        <w:rPr>
          <w:rFonts w:ascii="Times New Roman" w:hAnsi="Times New Roman"/>
          <w:sz w:val="24"/>
          <w:szCs w:val="24"/>
        </w:rPr>
        <w:t xml:space="preserve">: </w:t>
      </w:r>
      <w:r w:rsidR="009A657A" w:rsidRPr="00CA6473">
        <w:rPr>
          <w:rFonts w:ascii="Times New Roman" w:hAnsi="Times New Roman"/>
          <w:sz w:val="24"/>
          <w:szCs w:val="24"/>
        </w:rPr>
        <w:tab/>
      </w:r>
      <w:r w:rsidR="009A657A" w:rsidRPr="00CA6473">
        <w:rPr>
          <w:rFonts w:ascii="Times New Roman" w:hAnsi="Times New Roman"/>
          <w:sz w:val="24"/>
          <w:szCs w:val="24"/>
        </w:rPr>
        <w:tab/>
        <w:t>Horváth</w:t>
      </w:r>
      <w:r w:rsidRPr="00CA6473">
        <w:rPr>
          <w:rFonts w:ascii="Times New Roman" w:hAnsi="Times New Roman"/>
          <w:sz w:val="24"/>
          <w:szCs w:val="24"/>
        </w:rPr>
        <w:t xml:space="preserve"> Tamás</w:t>
      </w:r>
      <w:r w:rsidR="002159A6" w:rsidRPr="00CA6473">
        <w:rPr>
          <w:rFonts w:ascii="Times New Roman" w:hAnsi="Times New Roman"/>
          <w:sz w:val="24"/>
          <w:szCs w:val="24"/>
        </w:rPr>
        <w:t xml:space="preserve"> József </w:t>
      </w:r>
      <w:r w:rsidRPr="00CA6473">
        <w:rPr>
          <w:rFonts w:ascii="Times New Roman" w:hAnsi="Times New Roman"/>
          <w:sz w:val="24"/>
          <w:szCs w:val="24"/>
        </w:rPr>
        <w:t>ügyvezető igazgató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 xml:space="preserve"> 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fő tevékenysége:</w:t>
      </w:r>
      <w:r w:rsidR="00486B1A" w:rsidRPr="00CA6473">
        <w:rPr>
          <w:rFonts w:ascii="Times New Roman" w:hAnsi="Times New Roman"/>
          <w:sz w:val="24"/>
          <w:szCs w:val="24"/>
        </w:rPr>
        <w:t xml:space="preserve"> </w:t>
      </w:r>
      <w:r w:rsidR="00486B1A" w:rsidRPr="00CA6473">
        <w:rPr>
          <w:rFonts w:ascii="Times New Roman" w:hAnsi="Times New Roman"/>
          <w:sz w:val="24"/>
          <w:szCs w:val="24"/>
        </w:rPr>
        <w:tab/>
      </w:r>
      <w:r w:rsidR="00486B1A" w:rsidRPr="00CA6473">
        <w:rPr>
          <w:rFonts w:ascii="Times New Roman" w:hAnsi="Times New Roman"/>
          <w:sz w:val="24"/>
          <w:szCs w:val="24"/>
        </w:rPr>
        <w:tab/>
      </w:r>
      <w:r w:rsidR="00486B1A" w:rsidRPr="00CA6473">
        <w:rPr>
          <w:rFonts w:ascii="Times New Roman" w:hAnsi="Times New Roman"/>
          <w:sz w:val="24"/>
          <w:szCs w:val="24"/>
        </w:rPr>
        <w:tab/>
      </w:r>
      <w:r w:rsidR="00486B1A" w:rsidRPr="00CA6473">
        <w:rPr>
          <w:rFonts w:ascii="Times New Roman" w:hAnsi="Times New Roman"/>
          <w:sz w:val="24"/>
          <w:szCs w:val="24"/>
        </w:rPr>
        <w:tab/>
        <w:t>távfűtés és melegvíz</w:t>
      </w:r>
      <w:r w:rsidR="00C41A1E" w:rsidRPr="00CA6473">
        <w:rPr>
          <w:rFonts w:ascii="Times New Roman" w:hAnsi="Times New Roman"/>
          <w:sz w:val="24"/>
          <w:szCs w:val="24"/>
        </w:rPr>
        <w:t xml:space="preserve"> </w:t>
      </w:r>
      <w:r w:rsidR="00486B1A" w:rsidRPr="00CA6473">
        <w:rPr>
          <w:rFonts w:ascii="Times New Roman" w:hAnsi="Times New Roman"/>
          <w:sz w:val="24"/>
          <w:szCs w:val="24"/>
        </w:rPr>
        <w:t>szolgáltatás</w:t>
      </w:r>
    </w:p>
    <w:p w:rsidR="00C97947" w:rsidRPr="00CA6473" w:rsidRDefault="00486B1A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</w:p>
    <w:p w:rsidR="00C97947" w:rsidRPr="00CA6473" w:rsidRDefault="00C97947" w:rsidP="007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melléktevékenységei</w:t>
      </w:r>
      <w:r w:rsidR="00486B1A" w:rsidRPr="00CA6473">
        <w:rPr>
          <w:rFonts w:ascii="Times New Roman" w:hAnsi="Times New Roman"/>
          <w:sz w:val="24"/>
          <w:szCs w:val="24"/>
        </w:rPr>
        <w:t xml:space="preserve">: hulladékgyűjtés, hulladékszállítás, </w:t>
      </w:r>
      <w:r w:rsidRPr="00CA6473">
        <w:rPr>
          <w:rFonts w:ascii="Times New Roman" w:hAnsi="Times New Roman"/>
          <w:sz w:val="24"/>
          <w:szCs w:val="24"/>
        </w:rPr>
        <w:t>építőipari tevékenység, köztisztasági és település tisztasági szolgáltatás, szelektív hulladékgyűjtés</w:t>
      </w:r>
      <w:r w:rsidR="00091191" w:rsidRPr="00CA6473">
        <w:rPr>
          <w:rFonts w:ascii="Times New Roman" w:hAnsi="Times New Roman"/>
          <w:sz w:val="24"/>
          <w:szCs w:val="24"/>
        </w:rPr>
        <w:t>,</w:t>
      </w:r>
      <w:r w:rsidRPr="00CA6473">
        <w:rPr>
          <w:rFonts w:ascii="Times New Roman" w:hAnsi="Times New Roman"/>
          <w:sz w:val="24"/>
          <w:szCs w:val="24"/>
        </w:rPr>
        <w:t xml:space="preserve"> parkgondozás, közutak és tartozékaik karbantartása és javítása, társasházak képviselete, városüzemeltetési feladatok ellátása</w:t>
      </w:r>
      <w:r w:rsidR="00091191" w:rsidRPr="00CA6473">
        <w:rPr>
          <w:rFonts w:ascii="Times New Roman" w:hAnsi="Times New Roman"/>
          <w:sz w:val="24"/>
          <w:szCs w:val="24"/>
        </w:rPr>
        <w:t xml:space="preserve"> úgymint</w:t>
      </w:r>
      <w:r w:rsidRPr="00CA6473">
        <w:rPr>
          <w:rFonts w:ascii="Times New Roman" w:hAnsi="Times New Roman"/>
          <w:sz w:val="24"/>
          <w:szCs w:val="24"/>
        </w:rPr>
        <w:t xml:space="preserve"> temető gondnokság, temető üzemeltetés, eb rendészeti feladatok ellátása. </w:t>
      </w:r>
      <w:r w:rsidR="00C41A1E" w:rsidRPr="00CA6473">
        <w:rPr>
          <w:rFonts w:ascii="Times New Roman" w:hAnsi="Times New Roman"/>
          <w:sz w:val="24"/>
          <w:szCs w:val="24"/>
        </w:rPr>
        <w:t>Temetkezési szolgáltatás, v</w:t>
      </w:r>
      <w:r w:rsidR="002159A6" w:rsidRPr="00CA6473">
        <w:rPr>
          <w:rFonts w:ascii="Times New Roman" w:hAnsi="Times New Roman"/>
          <w:sz w:val="24"/>
          <w:szCs w:val="24"/>
        </w:rPr>
        <w:t xml:space="preserve">irág és ajándék kiskereskedelem, </w:t>
      </w:r>
      <w:r w:rsidR="00DA7573">
        <w:rPr>
          <w:rFonts w:ascii="Times New Roman" w:hAnsi="Times New Roman"/>
          <w:sz w:val="24"/>
          <w:szCs w:val="24"/>
        </w:rPr>
        <w:t xml:space="preserve">tűzifa értékesítés, </w:t>
      </w:r>
      <w:r w:rsidR="002159A6" w:rsidRPr="00CA6473">
        <w:rPr>
          <w:rFonts w:ascii="Times New Roman" w:hAnsi="Times New Roman"/>
          <w:sz w:val="24"/>
          <w:szCs w:val="24"/>
        </w:rPr>
        <w:t>illetve sportlétesítmény üzemeltetése.</w:t>
      </w:r>
    </w:p>
    <w:p w:rsidR="00C97947" w:rsidRPr="00CA6473" w:rsidRDefault="00C97947" w:rsidP="0032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  <w:u w:val="single"/>
        </w:rPr>
        <w:t>A Társaság elérhetőségi adatai</w:t>
      </w:r>
      <w:r w:rsidRPr="00CA6473">
        <w:rPr>
          <w:rFonts w:ascii="Times New Roman" w:hAnsi="Times New Roman"/>
          <w:sz w:val="24"/>
          <w:szCs w:val="24"/>
        </w:rPr>
        <w:t>:</w:t>
      </w:r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Telefon:</w:t>
      </w:r>
      <w:r w:rsidRPr="00CA6473">
        <w:rPr>
          <w:rFonts w:ascii="Times New Roman" w:hAnsi="Times New Roman"/>
          <w:sz w:val="24"/>
          <w:szCs w:val="24"/>
        </w:rPr>
        <w:tab/>
        <w:t>88-592-110</w:t>
      </w:r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Fax:</w:t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88-592-115</w:t>
      </w:r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Internet:</w:t>
      </w:r>
      <w:r w:rsidRPr="00CA6473">
        <w:rPr>
          <w:rFonts w:ascii="Times New Roman" w:hAnsi="Times New Roman"/>
          <w:sz w:val="24"/>
          <w:szCs w:val="24"/>
        </w:rPr>
        <w:tab/>
      </w:r>
      <w:hyperlink r:id="rId9" w:history="1">
        <w:r w:rsidRPr="00CA6473">
          <w:rPr>
            <w:rStyle w:val="Hiperhivatkozs"/>
            <w:rFonts w:ascii="Times New Roman" w:hAnsi="Times New Roman"/>
            <w:color w:val="auto"/>
            <w:sz w:val="24"/>
            <w:szCs w:val="24"/>
          </w:rPr>
          <w:t>www.vpkozuzem.hu</w:t>
        </w:r>
      </w:hyperlink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E-mail cím:</w:t>
      </w:r>
      <w:r w:rsidRPr="00CA6473">
        <w:rPr>
          <w:rFonts w:ascii="Times New Roman" w:hAnsi="Times New Roman"/>
          <w:sz w:val="24"/>
          <w:szCs w:val="24"/>
        </w:rPr>
        <w:tab/>
      </w:r>
      <w:hyperlink r:id="rId10" w:history="1">
        <w:r w:rsidRPr="00CA6473">
          <w:rPr>
            <w:rStyle w:val="Hiperhivatkozs"/>
            <w:rFonts w:ascii="Times New Roman" w:hAnsi="Times New Roman"/>
            <w:color w:val="auto"/>
            <w:sz w:val="24"/>
            <w:szCs w:val="24"/>
          </w:rPr>
          <w:t>titkarsag@vpkozuzem.hu</w:t>
        </w:r>
      </w:hyperlink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</w:r>
      <w:r w:rsidRPr="00CA6473">
        <w:rPr>
          <w:rFonts w:ascii="Times New Roman" w:hAnsi="Times New Roman"/>
          <w:sz w:val="24"/>
          <w:szCs w:val="24"/>
        </w:rPr>
        <w:tab/>
        <w:t>Postacím:</w:t>
      </w:r>
      <w:r w:rsidRPr="00CA6473">
        <w:rPr>
          <w:rFonts w:ascii="Times New Roman" w:hAnsi="Times New Roman"/>
          <w:sz w:val="24"/>
          <w:szCs w:val="24"/>
        </w:rPr>
        <w:tab/>
        <w:t>8100 Várpalota Fehérvári u. 7.</w:t>
      </w:r>
    </w:p>
    <w:p w:rsidR="00C97947" w:rsidRPr="00CA6473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947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6473">
        <w:rPr>
          <w:rFonts w:ascii="Times New Roman" w:hAnsi="Times New Roman"/>
          <w:bCs/>
          <w:sz w:val="24"/>
          <w:szCs w:val="24"/>
        </w:rPr>
        <w:t>Társaságunknak 2009. novemberétől működik saját honlapja, melyen minden információ</w:t>
      </w:r>
      <w:r w:rsidR="00D83284">
        <w:rPr>
          <w:rFonts w:ascii="Times New Roman" w:hAnsi="Times New Roman"/>
          <w:bCs/>
          <w:sz w:val="24"/>
          <w:szCs w:val="24"/>
        </w:rPr>
        <w:t xml:space="preserve"> </w:t>
      </w:r>
      <w:r w:rsidRPr="00CA6473">
        <w:rPr>
          <w:rFonts w:ascii="Times New Roman" w:hAnsi="Times New Roman"/>
          <w:bCs/>
          <w:sz w:val="24"/>
          <w:szCs w:val="24"/>
        </w:rPr>
        <w:t>rendelkezésre áll.</w:t>
      </w:r>
    </w:p>
    <w:p w:rsidR="00F60612" w:rsidRDefault="00F60612" w:rsidP="007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5C2" w:rsidRPr="00453A06" w:rsidRDefault="00B525C2" w:rsidP="00753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C97947" w:rsidRPr="00B525C2" w:rsidRDefault="00C97947" w:rsidP="00B525C2">
      <w:pPr>
        <w:numPr>
          <w:ilvl w:val="1"/>
          <w:numId w:val="32"/>
        </w:numPr>
        <w:rPr>
          <w:rFonts w:ascii="Times New Roman" w:hAnsi="Times New Roman"/>
          <w:b/>
          <w:sz w:val="24"/>
          <w:szCs w:val="24"/>
        </w:rPr>
      </w:pPr>
      <w:r w:rsidRPr="00B525C2">
        <w:rPr>
          <w:rFonts w:ascii="Times New Roman" w:hAnsi="Times New Roman"/>
          <w:b/>
          <w:sz w:val="24"/>
          <w:szCs w:val="24"/>
        </w:rPr>
        <w:lastRenderedPageBreak/>
        <w:t>A vállalkozás története</w:t>
      </w:r>
    </w:p>
    <w:p w:rsidR="00C97947" w:rsidRPr="00453A06" w:rsidRDefault="00C97947" w:rsidP="0075339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444D" w:rsidRPr="00453A06" w:rsidRDefault="001B444D" w:rsidP="00A949BB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A Várpalotai Köz</w:t>
      </w:r>
      <w:r w:rsidR="004E235A">
        <w:rPr>
          <w:rFonts w:ascii="Times New Roman" w:hAnsi="Times New Roman"/>
          <w:sz w:val="24"/>
          <w:szCs w:val="24"/>
        </w:rPr>
        <w:t>szolgáltató Nonprofit</w:t>
      </w:r>
      <w:r w:rsidRPr="00453A06">
        <w:rPr>
          <w:rFonts w:ascii="Times New Roman" w:hAnsi="Times New Roman"/>
          <w:sz w:val="24"/>
          <w:szCs w:val="24"/>
        </w:rPr>
        <w:t xml:space="preserve"> Kft</w:t>
      </w:r>
      <w:r w:rsidR="008248AD" w:rsidRPr="00453A06">
        <w:rPr>
          <w:rFonts w:ascii="Times New Roman" w:hAnsi="Times New Roman"/>
          <w:sz w:val="24"/>
          <w:szCs w:val="24"/>
        </w:rPr>
        <w:t xml:space="preserve">. jogelődje 1953-ban alakult, </w:t>
      </w:r>
      <w:r w:rsidRPr="00453A06">
        <w:rPr>
          <w:rFonts w:ascii="Times New Roman" w:hAnsi="Times New Roman"/>
          <w:sz w:val="24"/>
          <w:szCs w:val="24"/>
        </w:rPr>
        <w:t xml:space="preserve">a Várpalotai Ingatlankezelő Vállalat és a Várpalotai Kertészeti Vállalat összevonásával. Feladata akkoriban, a közületi ingatlanok kezelése, köztisztasági és kertészeti, </w:t>
      </w:r>
      <w:r w:rsidR="00A949BB" w:rsidRPr="00453A06">
        <w:rPr>
          <w:rFonts w:ascii="Times New Roman" w:hAnsi="Times New Roman"/>
          <w:sz w:val="24"/>
          <w:szCs w:val="24"/>
        </w:rPr>
        <w:t xml:space="preserve">és </w:t>
      </w:r>
      <w:r w:rsidRPr="00453A06">
        <w:rPr>
          <w:rFonts w:ascii="Times New Roman" w:hAnsi="Times New Roman"/>
          <w:sz w:val="24"/>
          <w:szCs w:val="24"/>
        </w:rPr>
        <w:t>szemétszállítási feladatok voltak.</w:t>
      </w:r>
    </w:p>
    <w:p w:rsidR="00A949BB" w:rsidRPr="00453A06" w:rsidRDefault="00A949BB" w:rsidP="00A949BB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Az addig állami tulajdonban lévő vállalat 1992-ben Várpalota Város Önkormányzatának 100 %-os tulajdonába került. 1992. április 1-től Várpalotai Önkormányzati Közüzemi Vállalatként működött 2000. január 10-ig, amikor is átalakult </w:t>
      </w:r>
      <w:r w:rsidR="00AB58D3" w:rsidRPr="00453A06">
        <w:rPr>
          <w:rFonts w:ascii="Times New Roman" w:hAnsi="Times New Roman"/>
          <w:sz w:val="24"/>
          <w:szCs w:val="24"/>
        </w:rPr>
        <w:t xml:space="preserve">Várpalotai </w:t>
      </w:r>
      <w:r w:rsidRPr="00453A06">
        <w:rPr>
          <w:rFonts w:ascii="Times New Roman" w:hAnsi="Times New Roman"/>
          <w:sz w:val="24"/>
          <w:szCs w:val="24"/>
        </w:rPr>
        <w:t>Közüzemi Kft-</w:t>
      </w:r>
      <w:proofErr w:type="spellStart"/>
      <w:r w:rsidRPr="00453A06">
        <w:rPr>
          <w:rFonts w:ascii="Times New Roman" w:hAnsi="Times New Roman"/>
          <w:sz w:val="24"/>
          <w:szCs w:val="24"/>
        </w:rPr>
        <w:t>vé</w:t>
      </w:r>
      <w:proofErr w:type="spellEnd"/>
      <w:r w:rsidRPr="00453A06">
        <w:rPr>
          <w:rFonts w:ascii="Times New Roman" w:hAnsi="Times New Roman"/>
          <w:sz w:val="24"/>
          <w:szCs w:val="24"/>
        </w:rPr>
        <w:t>.</w:t>
      </w:r>
    </w:p>
    <w:p w:rsidR="00F51B30" w:rsidRPr="00453A06" w:rsidRDefault="00F51B30" w:rsidP="00F51B30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Távhőszolgáltatást a cég 1969-től végzett, a Várpalota, Hétvezér u. 6.sz. alatti telephelyen. </w:t>
      </w:r>
      <w:r w:rsidR="00C41A1E" w:rsidRPr="00453A06">
        <w:rPr>
          <w:rFonts w:ascii="Times New Roman" w:hAnsi="Times New Roman"/>
          <w:sz w:val="24"/>
          <w:szCs w:val="24"/>
        </w:rPr>
        <w:t>A Kft</w:t>
      </w:r>
      <w:r w:rsidRPr="00453A06">
        <w:rPr>
          <w:rFonts w:ascii="Times New Roman" w:hAnsi="Times New Roman"/>
          <w:sz w:val="24"/>
          <w:szCs w:val="24"/>
        </w:rPr>
        <w:t xml:space="preserve">-t az Önkormányzat 2007. július 11.-vel beolvasztotta a </w:t>
      </w:r>
      <w:r w:rsidR="009A657A">
        <w:rPr>
          <w:rFonts w:ascii="Times New Roman" w:hAnsi="Times New Roman"/>
          <w:sz w:val="24"/>
          <w:szCs w:val="24"/>
        </w:rPr>
        <w:t xml:space="preserve">Várpalotai </w:t>
      </w:r>
      <w:r w:rsidRPr="00453A06">
        <w:rPr>
          <w:rFonts w:ascii="Times New Roman" w:hAnsi="Times New Roman"/>
          <w:sz w:val="24"/>
          <w:szCs w:val="24"/>
        </w:rPr>
        <w:t>Közüzemi Kft-be. Most, mint Hőszolgáltatási és Energiatermelési részleg látja el feladatát.</w:t>
      </w:r>
    </w:p>
    <w:p w:rsidR="002159A6" w:rsidRDefault="00C97947" w:rsidP="00A949BB">
      <w:pPr>
        <w:jc w:val="both"/>
        <w:rPr>
          <w:rFonts w:ascii="Times-Roman" w:hAnsi="Times-Roman" w:cs="Times-Roman"/>
          <w:sz w:val="24"/>
          <w:szCs w:val="24"/>
        </w:rPr>
      </w:pPr>
      <w:r w:rsidRPr="00453A06">
        <w:rPr>
          <w:rFonts w:ascii="Times-Roman" w:hAnsi="Times-Roman" w:cs="Times-Roman"/>
          <w:sz w:val="24"/>
          <w:szCs w:val="24"/>
        </w:rPr>
        <w:t>2009. július 1-től az Önkormányzat Városüzemeltetési feladatai</w:t>
      </w:r>
      <w:r w:rsidR="009E1AEF" w:rsidRPr="00453A06">
        <w:rPr>
          <w:rFonts w:ascii="Times-Roman" w:hAnsi="Times-Roman" w:cs="Times-Roman"/>
          <w:sz w:val="24"/>
          <w:szCs w:val="24"/>
        </w:rPr>
        <w:t xml:space="preserve"> (zöldterület-kezelés és parkgondozás, köztemetők üzemeltetése, állategészségügyi szolgáltatás, fakivágás és pótlás, űrszelvényezés) </w:t>
      </w:r>
      <w:r w:rsidRPr="00453A06">
        <w:rPr>
          <w:rFonts w:ascii="Times-Roman" w:hAnsi="Times-Roman" w:cs="Times-Roman"/>
          <w:sz w:val="24"/>
          <w:szCs w:val="24"/>
        </w:rPr>
        <w:t>és az önkormányzati tulajdonú lakások és egyéb ingatlanok bérbeadási és értékesítési tevékenysége</w:t>
      </w:r>
      <w:r w:rsidR="00AB1226" w:rsidRPr="00453A06">
        <w:rPr>
          <w:rFonts w:ascii="Times-Roman" w:hAnsi="Times-Roman" w:cs="Times-Roman"/>
          <w:sz w:val="24"/>
          <w:szCs w:val="24"/>
        </w:rPr>
        <w:t xml:space="preserve"> (korábbi Városi Kincstár</w:t>
      </w:r>
      <w:r w:rsidR="009E1AEF" w:rsidRPr="00453A06">
        <w:rPr>
          <w:rFonts w:ascii="Times-Roman" w:hAnsi="Times-Roman" w:cs="Times-Roman"/>
          <w:sz w:val="24"/>
          <w:szCs w:val="24"/>
        </w:rPr>
        <w:t xml:space="preserve"> feladatai részben</w:t>
      </w:r>
      <w:r w:rsidR="00AB1226" w:rsidRPr="00453A06">
        <w:rPr>
          <w:rFonts w:ascii="Times-Roman" w:hAnsi="Times-Roman" w:cs="Times-Roman"/>
          <w:sz w:val="24"/>
          <w:szCs w:val="24"/>
        </w:rPr>
        <w:t xml:space="preserve">) </w:t>
      </w:r>
      <w:r w:rsidRPr="00453A06">
        <w:rPr>
          <w:rFonts w:ascii="Times-Roman" w:hAnsi="Times-Roman" w:cs="Times-Roman"/>
          <w:sz w:val="24"/>
          <w:szCs w:val="24"/>
        </w:rPr>
        <w:t>került a Társaság tevékenységei közé.</w:t>
      </w:r>
    </w:p>
    <w:p w:rsidR="00C97947" w:rsidRPr="00453A06" w:rsidRDefault="009E1AEF" w:rsidP="00A949BB">
      <w:pPr>
        <w:jc w:val="both"/>
        <w:rPr>
          <w:rFonts w:ascii="Times-Roman" w:hAnsi="Times-Roman" w:cs="Times-Roman"/>
          <w:sz w:val="24"/>
          <w:szCs w:val="24"/>
        </w:rPr>
      </w:pPr>
      <w:r w:rsidRPr="00453A06">
        <w:rPr>
          <w:rFonts w:ascii="Times-Roman" w:hAnsi="Times-Roman" w:cs="Times-Roman"/>
          <w:sz w:val="24"/>
          <w:szCs w:val="24"/>
        </w:rPr>
        <w:t>2010</w:t>
      </w:r>
      <w:r w:rsidR="002159A6">
        <w:rPr>
          <w:rFonts w:ascii="Times-Roman" w:hAnsi="Times-Roman" w:cs="Times-Roman"/>
          <w:sz w:val="24"/>
          <w:szCs w:val="24"/>
        </w:rPr>
        <w:t>.</w:t>
      </w:r>
      <w:r w:rsidRPr="00453A06">
        <w:rPr>
          <w:rFonts w:ascii="Times-Roman" w:hAnsi="Times-Roman" w:cs="Times-Roman"/>
          <w:sz w:val="24"/>
          <w:szCs w:val="24"/>
        </w:rPr>
        <w:t xml:space="preserve"> augusztusában a </w:t>
      </w:r>
      <w:r w:rsidR="002159A6">
        <w:rPr>
          <w:rFonts w:ascii="Times-Roman" w:hAnsi="Times-Roman" w:cs="Times-Roman"/>
          <w:sz w:val="24"/>
          <w:szCs w:val="24"/>
        </w:rPr>
        <w:t xml:space="preserve">Várpalotai </w:t>
      </w:r>
      <w:r w:rsidRPr="00453A06">
        <w:rPr>
          <w:rFonts w:ascii="Times-Roman" w:hAnsi="Times-Roman" w:cs="Times-Roman"/>
          <w:sz w:val="24"/>
          <w:szCs w:val="24"/>
        </w:rPr>
        <w:t>Közüzemi Kft</w:t>
      </w:r>
      <w:r w:rsidR="002159A6">
        <w:rPr>
          <w:rFonts w:ascii="Times-Roman" w:hAnsi="Times-Roman" w:cs="Times-Roman"/>
          <w:sz w:val="24"/>
          <w:szCs w:val="24"/>
        </w:rPr>
        <w:t>.</w:t>
      </w:r>
      <w:r w:rsidRPr="00453A06">
        <w:rPr>
          <w:rFonts w:ascii="Times-Roman" w:hAnsi="Times-Roman" w:cs="Times-Roman"/>
          <w:sz w:val="24"/>
          <w:szCs w:val="24"/>
        </w:rPr>
        <w:t xml:space="preserve"> újból megnyitotta 20 éve elfelejtett virágboltját és decemberben pedig elindította temetkezési szolgáltatását is.</w:t>
      </w:r>
    </w:p>
    <w:p w:rsidR="00145AE9" w:rsidRDefault="00E95688" w:rsidP="00A949BB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2013. január 1-től 3 településen, Litér, Papkeszi, Vilonya községben vette át Társaságunk, mint közszolgáltató a hulladékszá</w:t>
      </w:r>
      <w:r w:rsidR="00145AE9">
        <w:rPr>
          <w:rFonts w:ascii="Times-Roman" w:hAnsi="Times-Roman" w:cs="Times-Roman"/>
          <w:sz w:val="24"/>
          <w:szCs w:val="24"/>
        </w:rPr>
        <w:t>llítási tevékenység ellátását. 2014. február 1-től viszont a közszolgáltatói szerződés felmondásával az említett 3 településen, illetve Ősi, Öskü, Tés, Csór és Hétházpuszta településeken megszűnt hulladékgazdálkodási tevékenységünk, amely jelentősen befolyásolta a Társaság további működését.</w:t>
      </w:r>
    </w:p>
    <w:p w:rsidR="00145AE9" w:rsidRDefault="00145AE9" w:rsidP="00A949BB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2013. évben a Társaság</w:t>
      </w:r>
      <w:r w:rsidR="00F60612">
        <w:rPr>
          <w:rFonts w:ascii="Times-Roman" w:hAnsi="Times-Roman" w:cs="Times-Roman"/>
          <w:sz w:val="24"/>
          <w:szCs w:val="24"/>
        </w:rPr>
        <w:t>,</w:t>
      </w:r>
      <w:r w:rsidR="00597A23">
        <w:rPr>
          <w:rFonts w:ascii="Times-Roman" w:hAnsi="Times-Roman" w:cs="Times-Roman"/>
          <w:sz w:val="24"/>
          <w:szCs w:val="24"/>
        </w:rPr>
        <w:t xml:space="preserve"> mint jogelőd, kiválással létrehozta a Várpalotai Hulladékgazdálkodási Közszolgáltató Nonprofit társaságot. A hulladékgazdálkodási közszolgáltatási tevékenységet 2014. január 1-től a Nonprofit Társaság látja el Várpalota és Inota települések területén.</w:t>
      </w:r>
    </w:p>
    <w:p w:rsidR="00597A23" w:rsidRDefault="00597A23" w:rsidP="00145AE9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Társaságunk a Nonprofit Társaság 40 százalékos üzletrészével rendelkezik, a 60 százalékos üzletrészével Társaságunk tulajdonosa Várpalota Város Önkormányzata rendelkezik.</w:t>
      </w:r>
    </w:p>
    <w:p w:rsidR="00CA6473" w:rsidRDefault="00FC6EB3" w:rsidP="00145AE9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Nonprofit T</w:t>
      </w:r>
      <w:r w:rsidR="00597A23">
        <w:rPr>
          <w:rFonts w:ascii="Times-Roman" w:hAnsi="Times-Roman" w:cs="Times-Roman"/>
          <w:sz w:val="24"/>
          <w:szCs w:val="24"/>
        </w:rPr>
        <w:t xml:space="preserve">ársaság </w:t>
      </w:r>
      <w:r>
        <w:rPr>
          <w:rFonts w:ascii="Times-Roman" w:hAnsi="Times-Roman" w:cs="Times-Roman"/>
          <w:sz w:val="24"/>
          <w:szCs w:val="24"/>
        </w:rPr>
        <w:t xml:space="preserve">tevékenységének megkezdésével Társaságunk </w:t>
      </w:r>
      <w:r w:rsidR="002A2CA1">
        <w:rPr>
          <w:rFonts w:ascii="Times-Roman" w:hAnsi="Times-Roman" w:cs="Times-Roman"/>
          <w:sz w:val="24"/>
          <w:szCs w:val="24"/>
        </w:rPr>
        <w:t xml:space="preserve">új tevékenységet vállalt </w:t>
      </w:r>
      <w:r>
        <w:rPr>
          <w:rFonts w:ascii="Times-Roman" w:hAnsi="Times-Roman" w:cs="Times-Roman"/>
          <w:sz w:val="24"/>
          <w:szCs w:val="24"/>
        </w:rPr>
        <w:t>megbízási megállapodás alapján. Társaságunk látja el a Nonprofit Társaság számviteli, pénzügyi és számlázási tevékenységét, illetve saját eszközeivel végzi a hulladékgazdálkodási közszolgáltatást.</w:t>
      </w:r>
    </w:p>
    <w:p w:rsidR="002A2CA1" w:rsidRDefault="002A2CA1" w:rsidP="00145AE9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Társaságunk 2013 decemberében</w:t>
      </w:r>
      <w:r w:rsidR="00F6061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lakosság egészséges életmódjának támogatásához, és a szabadidő hasznos eltöltése érdekében műjégpálya üzemeltetését kezdte meg székhelyén</w:t>
      </w:r>
      <w:r w:rsidR="00D57213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Társaságunk megfelelő körülményeket tudott biztosítani a műjégpálya üzemel</w:t>
      </w:r>
      <w:r w:rsidR="00BE7BA4">
        <w:rPr>
          <w:rFonts w:ascii="Times-Roman" w:hAnsi="Times-Roman" w:cs="Times-Roman"/>
          <w:sz w:val="24"/>
          <w:szCs w:val="24"/>
        </w:rPr>
        <w:t>tetési feltételeihez. A további folytatáshoz a sportolni vágyó látogatóink kedvező fogadtatása ad</w:t>
      </w:r>
      <w:r w:rsidR="00D57213">
        <w:rPr>
          <w:rFonts w:ascii="Times-Roman" w:hAnsi="Times-Roman" w:cs="Times-Roman"/>
          <w:sz w:val="24"/>
          <w:szCs w:val="24"/>
        </w:rPr>
        <w:t>ott</w:t>
      </w:r>
      <w:r w:rsidR="00BE7BA4">
        <w:rPr>
          <w:rFonts w:ascii="Times-Roman" w:hAnsi="Times-Roman" w:cs="Times-Roman"/>
          <w:sz w:val="24"/>
          <w:szCs w:val="24"/>
        </w:rPr>
        <w:t xml:space="preserve"> alapot</w:t>
      </w:r>
      <w:r w:rsidR="00D57213">
        <w:rPr>
          <w:rFonts w:ascii="Times-Roman" w:hAnsi="Times-Roman" w:cs="Times-Roman"/>
          <w:sz w:val="24"/>
          <w:szCs w:val="24"/>
        </w:rPr>
        <w:t xml:space="preserve"> és a műjégpálya minden évben októbertől márciusig tartó időszakban várja vendégeinket.</w:t>
      </w:r>
    </w:p>
    <w:p w:rsidR="00145AE9" w:rsidRDefault="00C97947" w:rsidP="00145AE9">
      <w:pPr>
        <w:jc w:val="both"/>
        <w:rPr>
          <w:rFonts w:ascii="Times-Roman" w:hAnsi="Times-Roman" w:cs="Times-Roman"/>
          <w:sz w:val="24"/>
          <w:szCs w:val="24"/>
        </w:rPr>
      </w:pPr>
      <w:r w:rsidRPr="00453A06">
        <w:rPr>
          <w:rFonts w:ascii="Times-Roman" w:hAnsi="Times-Roman" w:cs="Times-Roman"/>
          <w:sz w:val="24"/>
          <w:szCs w:val="24"/>
        </w:rPr>
        <w:lastRenderedPageBreak/>
        <w:t>A Társaság piaci helyzete a távh</w:t>
      </w:r>
      <w:r w:rsidR="00620C14">
        <w:rPr>
          <w:rFonts w:ascii="Times-Roman" w:hAnsi="Times-Roman" w:cs="Times-Roman"/>
          <w:sz w:val="24"/>
          <w:szCs w:val="24"/>
        </w:rPr>
        <w:t xml:space="preserve">ő </w:t>
      </w:r>
      <w:r w:rsidRPr="00453A06">
        <w:rPr>
          <w:rFonts w:ascii="Times-Roman" w:hAnsi="Times-Roman" w:cs="Times-Roman"/>
          <w:sz w:val="24"/>
          <w:szCs w:val="24"/>
        </w:rPr>
        <w:t>szolgáltatási tevékenység területén kiegyen</w:t>
      </w:r>
      <w:r w:rsidR="00486B1A" w:rsidRPr="00453A06">
        <w:rPr>
          <w:rFonts w:ascii="Times-Roman" w:hAnsi="Times-Roman" w:cs="Times-Roman"/>
          <w:sz w:val="24"/>
          <w:szCs w:val="24"/>
        </w:rPr>
        <w:t xml:space="preserve">súlyozott, egyéb tevékenységeinek jelentős részét </w:t>
      </w:r>
      <w:r w:rsidRPr="00453A06">
        <w:rPr>
          <w:rFonts w:ascii="Times-Roman" w:hAnsi="Times-Roman" w:cs="Times-Roman"/>
          <w:sz w:val="24"/>
          <w:szCs w:val="24"/>
        </w:rPr>
        <w:t>az Önkormányzat, mint tulajdonos, kizárólagos joggal átadott önkormányzati feladatai teszik ki.</w:t>
      </w:r>
    </w:p>
    <w:p w:rsidR="00623A3C" w:rsidRPr="00B27372" w:rsidRDefault="00CA6473" w:rsidP="00E60C0C">
      <w:pPr>
        <w:pStyle w:val="Cmsor3"/>
      </w:pPr>
      <w:bookmarkStart w:id="1" w:name="_Toc511392620"/>
      <w:r w:rsidRPr="00B27372">
        <w:t xml:space="preserve">II. </w:t>
      </w:r>
      <w:r w:rsidR="00623A3C" w:rsidRPr="00B27372">
        <w:t>Gazdálkodási jellemzők</w:t>
      </w:r>
      <w:bookmarkEnd w:id="1"/>
    </w:p>
    <w:p w:rsidR="00623A3C" w:rsidRDefault="00623A3C" w:rsidP="00623A3C">
      <w:pPr>
        <w:jc w:val="both"/>
        <w:rPr>
          <w:rFonts w:ascii="Times New Roman" w:hAnsi="Times New Roman"/>
          <w:sz w:val="24"/>
          <w:szCs w:val="24"/>
        </w:rPr>
      </w:pPr>
      <w:r w:rsidRPr="00623A3C">
        <w:rPr>
          <w:rFonts w:ascii="Times New Roman" w:hAnsi="Times New Roman"/>
          <w:sz w:val="24"/>
          <w:szCs w:val="24"/>
        </w:rPr>
        <w:t>Az eredmény alakulását az alábbi táblázat mutatja be</w:t>
      </w:r>
      <w:r w:rsidR="00C7017D">
        <w:rPr>
          <w:rFonts w:ascii="Times New Roman" w:hAnsi="Times New Roman"/>
          <w:sz w:val="24"/>
          <w:szCs w:val="24"/>
        </w:rPr>
        <w:t xml:space="preserve"> 201</w:t>
      </w:r>
      <w:r w:rsidR="009E4EFA">
        <w:rPr>
          <w:rFonts w:ascii="Times New Roman" w:hAnsi="Times New Roman"/>
          <w:sz w:val="24"/>
          <w:szCs w:val="24"/>
        </w:rPr>
        <w:t>7</w:t>
      </w:r>
      <w:r w:rsidR="00C7017D">
        <w:rPr>
          <w:rFonts w:ascii="Times New Roman" w:hAnsi="Times New Roman"/>
          <w:sz w:val="24"/>
          <w:szCs w:val="24"/>
        </w:rPr>
        <w:t>. és 201</w:t>
      </w:r>
      <w:r w:rsidR="009E4EFA">
        <w:rPr>
          <w:rFonts w:ascii="Times New Roman" w:hAnsi="Times New Roman"/>
          <w:sz w:val="24"/>
          <w:szCs w:val="24"/>
        </w:rPr>
        <w:t>8</w:t>
      </w:r>
      <w:r w:rsidR="00C7017D">
        <w:rPr>
          <w:rFonts w:ascii="Times New Roman" w:hAnsi="Times New Roman"/>
          <w:sz w:val="24"/>
          <w:szCs w:val="24"/>
        </w:rPr>
        <w:t xml:space="preserve">. gazdasági évek összehasonlításával. A változás mértéke </w:t>
      </w:r>
      <w:r w:rsidR="00B5775B">
        <w:rPr>
          <w:rFonts w:ascii="Times New Roman" w:hAnsi="Times New Roman"/>
          <w:sz w:val="24"/>
          <w:szCs w:val="24"/>
        </w:rPr>
        <w:t>százalékosan kerül bemutatásra.</w:t>
      </w:r>
    </w:p>
    <w:p w:rsidR="002B16D1" w:rsidRDefault="008776D4" w:rsidP="00623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eFt</w:t>
      </w:r>
      <w:r w:rsidR="004F4BAB">
        <w:rPr>
          <w:rFonts w:ascii="Times New Roman" w:hAnsi="Times New Roman"/>
          <w:sz w:val="24"/>
          <w:szCs w:val="24"/>
        </w:rPr>
        <w:t>-ban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698"/>
        <w:gridCol w:w="1698"/>
        <w:gridCol w:w="1698"/>
      </w:tblGrid>
      <w:tr w:rsidR="002B16D1" w:rsidRPr="003928C9" w:rsidTr="009B173B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16D1" w:rsidRPr="003928C9" w:rsidRDefault="00180C75" w:rsidP="009B17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Időszak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16D1" w:rsidRPr="003928C9" w:rsidRDefault="00180C75" w:rsidP="00F60612">
            <w:pPr>
              <w:ind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2B16D1" w:rsidRPr="003928C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766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B16D1" w:rsidRPr="003928C9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16D1" w:rsidRPr="003928C9" w:rsidRDefault="00180C75" w:rsidP="00F60612">
            <w:pPr>
              <w:ind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2B16D1" w:rsidRPr="003928C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766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B16D1" w:rsidRPr="003928C9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16D1" w:rsidRPr="003928C9" w:rsidRDefault="002B16D1" w:rsidP="002B16D1">
            <w:pPr>
              <w:ind w:right="-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Változás</w:t>
            </w:r>
            <w:r w:rsidR="009B173B" w:rsidRPr="003928C9">
              <w:rPr>
                <w:rFonts w:ascii="Times New Roman" w:hAnsi="Times New Roman"/>
                <w:b/>
                <w:sz w:val="20"/>
                <w:szCs w:val="20"/>
              </w:rPr>
              <w:t xml:space="preserve"> mértéke százalékosan</w:t>
            </w:r>
          </w:p>
        </w:tc>
      </w:tr>
      <w:tr w:rsidR="0097661F" w:rsidRPr="003928C9" w:rsidTr="002B16D1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Összes bevétel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629 549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836 939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112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7661F" w:rsidRPr="003928C9" w:rsidTr="008249BD">
        <w:trPr>
          <w:trHeight w:val="30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- Értékesítés nettó árbevétele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410 934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431 514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3928C9" w:rsidTr="008249BD">
        <w:trPr>
          <w:trHeight w:val="30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- Aktivált saját teljesítmények értéke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28 145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3928C9" w:rsidTr="008249BD">
        <w:trPr>
          <w:trHeight w:val="30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- Egyéb bevétel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194 034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373 069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3928C9" w:rsidTr="008249BD">
        <w:trPr>
          <w:trHeight w:val="30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numPr>
                <w:ilvl w:val="0"/>
                <w:numId w:val="26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Pénzügyi műveletek bevételei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B16D1" w:rsidRDefault="002B16D1" w:rsidP="00623A3C">
      <w:pPr>
        <w:jc w:val="both"/>
        <w:rPr>
          <w:sz w:val="32"/>
          <w:szCs w:val="32"/>
        </w:rPr>
      </w:pP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698"/>
        <w:gridCol w:w="1698"/>
        <w:gridCol w:w="1698"/>
      </w:tblGrid>
      <w:tr w:rsidR="00473038" w:rsidRPr="00C83FDA" w:rsidTr="00BF2705">
        <w:trPr>
          <w:trHeight w:val="30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38" w:rsidRPr="003928C9" w:rsidRDefault="00473038" w:rsidP="00473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Összes költség és ráfordítás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38" w:rsidRPr="003928C9" w:rsidRDefault="0097661F" w:rsidP="0047303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1 617 581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38" w:rsidRPr="003928C9" w:rsidRDefault="00473038" w:rsidP="0047303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405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038" w:rsidRPr="003928C9" w:rsidRDefault="00532F41" w:rsidP="0047303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  <w:r w:rsidR="0047303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73038" w:rsidRPr="003928C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7661F" w:rsidRPr="002A54A2" w:rsidTr="00BF2705">
        <w:trPr>
          <w:trHeight w:val="31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Anyagköltség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652 793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639 106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2A54A2" w:rsidTr="00BF2705">
        <w:trPr>
          <w:trHeight w:val="31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 xml:space="preserve">Igénybe vett szolgáltatások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225 984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194 587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2A54A2" w:rsidTr="00BF2705">
        <w:trPr>
          <w:trHeight w:val="31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Egyéb szolgáltatások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21 602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23 813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2A54A2" w:rsidTr="00BF2705">
        <w:trPr>
          <w:trHeight w:val="31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Eladott áruk beszerzési értéke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41">
              <w:rPr>
                <w:rFonts w:ascii="Times New Roman" w:hAnsi="Times New Roman"/>
                <w:sz w:val="20"/>
                <w:szCs w:val="20"/>
              </w:rPr>
              <w:t>44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sz w:val="20"/>
                <w:szCs w:val="20"/>
              </w:rPr>
              <w:t>8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2A54A2" w:rsidTr="008E5C9D">
        <w:trPr>
          <w:trHeight w:val="52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Eladott (közvetített) szoláltatások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76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41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sz w:val="20"/>
                <w:szCs w:val="20"/>
              </w:rPr>
              <w:t>8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C83FDA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Anyagjellegű ráfordítások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919 689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885</w:t>
            </w:r>
            <w:r w:rsidR="009766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7661F" w:rsidRPr="00574DDB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Bérköltség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360 418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2F41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F4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2F41">
              <w:rPr>
                <w:rFonts w:ascii="Times New Roman" w:hAnsi="Times New Roman"/>
                <w:sz w:val="20"/>
                <w:szCs w:val="20"/>
              </w:rPr>
              <w:t>06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sz w:val="20"/>
                <w:szCs w:val="20"/>
              </w:rPr>
              <w:t>5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574DDB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Személyi jellegű egyéb kifizetések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85 326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976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2F41">
              <w:rPr>
                <w:rFonts w:ascii="Times New Roman" w:hAnsi="Times New Roman"/>
                <w:sz w:val="20"/>
                <w:szCs w:val="20"/>
              </w:rPr>
              <w:t>8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sz w:val="20"/>
                <w:szCs w:val="20"/>
              </w:rPr>
              <w:t>0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574DDB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Bérjárulékok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86 908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2F4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F4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32F41">
              <w:rPr>
                <w:rFonts w:ascii="Times New Roman" w:hAnsi="Times New Roman"/>
                <w:sz w:val="20"/>
                <w:szCs w:val="20"/>
              </w:rPr>
              <w:t>8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sz w:val="20"/>
                <w:szCs w:val="20"/>
              </w:rPr>
              <w:t>4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C83FDA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Személyi jellegű ráfordítások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532 652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7661F" w:rsidRPr="00E47984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Értékcsökkenési leírás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2F41">
              <w:rPr>
                <w:rFonts w:ascii="Times New Roman" w:hAnsi="Times New Roman"/>
                <w:sz w:val="20"/>
                <w:szCs w:val="20"/>
              </w:rPr>
              <w:t>8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F41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 w:rsidR="00532F41">
              <w:rPr>
                <w:rFonts w:ascii="Times New Roman" w:hAnsi="Times New Roman"/>
                <w:sz w:val="20"/>
                <w:szCs w:val="20"/>
              </w:rPr>
              <w:t>3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C83FDA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Egyéb ráfordítások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61F" w:rsidRPr="003D6A28" w:rsidTr="00BF2705">
        <w:trPr>
          <w:trHeight w:val="31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97661F" w:rsidP="0097661F">
            <w:pPr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Pénzügyi műveletek ráfordításai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97661F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61F" w:rsidRPr="003928C9" w:rsidRDefault="00532F41" w:rsidP="00976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61F"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45E1A" w:rsidRPr="003D6A28" w:rsidTr="00F45E1A">
        <w:trPr>
          <w:trHeight w:val="318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F45E1A" w:rsidP="00F45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F45E1A" w:rsidP="00F45E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F45E1A" w:rsidP="00F45E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F45E1A" w:rsidP="00F45E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E1A" w:rsidRPr="00C83FDA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F45E1A" w:rsidP="00F45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Adózás előtti eredmény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473038" w:rsidP="00F45E1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5E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968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532F41" w:rsidP="00F45E1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79 534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532F41" w:rsidP="00F45E1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</w:t>
            </w:r>
            <w:r w:rsidR="00F45E1A" w:rsidRPr="003928C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45E1A" w:rsidRPr="003928C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45E1A" w:rsidRPr="002A54A2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F45E1A" w:rsidP="00F45E1A">
            <w:pPr>
              <w:rPr>
                <w:rFonts w:ascii="Times New Roman" w:hAnsi="Times New Roman"/>
                <w:sz w:val="20"/>
                <w:szCs w:val="20"/>
              </w:rPr>
            </w:pPr>
            <w:r w:rsidRPr="003928C9">
              <w:rPr>
                <w:rFonts w:ascii="Times New Roman" w:hAnsi="Times New Roman"/>
                <w:sz w:val="20"/>
                <w:szCs w:val="20"/>
              </w:rPr>
              <w:t>Adófizetési kötelezettsége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532F41" w:rsidP="00F45E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532F41" w:rsidP="00F45E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AE7237" w:rsidP="00F45E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45E1A" w:rsidRPr="003928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45E1A" w:rsidRPr="00C83FDA" w:rsidTr="00BF2705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F45E1A" w:rsidP="00F45E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28C9">
              <w:rPr>
                <w:rFonts w:ascii="Times New Roman" w:hAnsi="Times New Roman"/>
                <w:b/>
                <w:sz w:val="20"/>
                <w:szCs w:val="20"/>
              </w:rPr>
              <w:t>Adózott eredmény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473038" w:rsidP="00F45E1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="00532F41">
              <w:rPr>
                <w:rFonts w:ascii="Times New Roman" w:hAnsi="Times New Roman"/>
                <w:b/>
                <w:sz w:val="20"/>
                <w:szCs w:val="20"/>
              </w:rPr>
              <w:t>968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1A" w:rsidRPr="003928C9" w:rsidRDefault="00532F41" w:rsidP="00F45E1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47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1A" w:rsidRPr="003928C9" w:rsidRDefault="00532F41" w:rsidP="00F45E1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E41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45E1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45E1A" w:rsidRPr="003928C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2B16D1" w:rsidRPr="002B16D1" w:rsidRDefault="002B16D1" w:rsidP="002B16D1">
      <w:pPr>
        <w:rPr>
          <w:rFonts w:ascii="Times New Roman" w:hAnsi="Times New Roman"/>
          <w:sz w:val="24"/>
          <w:szCs w:val="24"/>
        </w:rPr>
      </w:pPr>
    </w:p>
    <w:p w:rsidR="002B16D1" w:rsidRPr="003928C9" w:rsidRDefault="002B16D1" w:rsidP="002B16D1">
      <w:pPr>
        <w:rPr>
          <w:rFonts w:ascii="Times New Roman" w:hAnsi="Times New Roman"/>
          <w:b/>
          <w:sz w:val="24"/>
          <w:szCs w:val="24"/>
        </w:rPr>
      </w:pPr>
      <w:r w:rsidRPr="003928C9">
        <w:rPr>
          <w:rFonts w:ascii="Times New Roman" w:hAnsi="Times New Roman"/>
          <w:b/>
          <w:sz w:val="24"/>
          <w:szCs w:val="24"/>
        </w:rPr>
        <w:t xml:space="preserve">2.1. </w:t>
      </w:r>
      <w:r w:rsidRPr="00E60C0C">
        <w:rPr>
          <w:rFonts w:ascii="Times New Roman" w:hAnsi="Times New Roman"/>
          <w:b/>
          <w:bCs/>
          <w:sz w:val="24"/>
          <w:szCs w:val="24"/>
        </w:rPr>
        <w:t>Árbevétel</w:t>
      </w:r>
      <w:r w:rsidR="003928C9" w:rsidRPr="00E60C0C">
        <w:rPr>
          <w:rFonts w:ascii="Times New Roman" w:hAnsi="Times New Roman"/>
          <w:b/>
          <w:bCs/>
          <w:sz w:val="24"/>
          <w:szCs w:val="24"/>
        </w:rPr>
        <w:t>, bevétel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8"/>
        <w:gridCol w:w="1032"/>
        <w:gridCol w:w="1066"/>
        <w:gridCol w:w="1066"/>
        <w:gridCol w:w="1005"/>
        <w:gridCol w:w="1005"/>
      </w:tblGrid>
      <w:tr w:rsidR="003928C9" w:rsidRPr="00F4434F" w:rsidTr="00E67F87">
        <w:trPr>
          <w:jc w:val="center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ED6920" w:rsidRDefault="003928C9" w:rsidP="00F769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AD7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201</w:t>
            </w:r>
            <w:r w:rsidR="00A87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AD7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201</w:t>
            </w:r>
            <w:r w:rsidR="00A87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AD7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201</w:t>
            </w:r>
            <w:r w:rsidR="00A87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Index %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Index %</w:t>
            </w:r>
          </w:p>
        </w:tc>
      </w:tr>
      <w:tr w:rsidR="003928C9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tény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terv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tény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előző évi tényhez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28C9" w:rsidRPr="00ED6920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tárgy évi tervhez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1.) 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Hulladékgazdálkodás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: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185 924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460CFD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166 500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  <w:r w:rsidR="00460CF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5 </w:t>
            </w:r>
            <w:r w:rsidR="00460CF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</w:t>
            </w:r>
            <w:r w:rsidR="00460CF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460CFD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117</w:t>
            </w:r>
            <w:r w:rsidR="00A874E3"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2.)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Építőipari szolgáltatások: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44 648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460CFD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32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460CFD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37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84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460CFD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115</w:t>
            </w:r>
            <w:r w:rsidR="00A874E3"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3.) 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Energiaszolgáltatás: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- Áramtermelés</w:t>
            </w:r>
          </w:p>
          <w:p w:rsidR="00A874E3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- Távhőszolgáltatás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 Központi fűtés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174 874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752 037</w:t>
            </w:r>
          </w:p>
          <w:p w:rsidR="00A874E3" w:rsidRPr="00A24024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3 858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1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37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101</w:t>
            </w:r>
          </w:p>
          <w:p w:rsidR="00A874E3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7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39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882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 xml:space="preserve">3 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482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1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88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795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7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200</w:t>
            </w:r>
          </w:p>
          <w:p w:rsidR="00A874E3" w:rsidRPr="00A24024" w:rsidRDefault="00460CFD" w:rsidP="00A874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u-HU"/>
              </w:rPr>
              <w:t>4 017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A874E3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1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9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  <w:p w:rsidR="00A874E3" w:rsidRPr="00B16C28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104</w:t>
            </w:r>
            <w:r w:rsidRPr="00B16C28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  <w:p w:rsidR="00A874E3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9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   1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</w:tr>
      <w:tr w:rsidR="00A874E3" w:rsidRPr="00F4434F" w:rsidTr="00E67F87">
        <w:trPr>
          <w:trHeight w:val="294"/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Energiaszolgáltatás összesen: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930 769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460CFD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880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465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="00460CF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07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460CF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460CFD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97</w:t>
            </w:r>
            <w:r w:rsidR="00A874E3"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 </w:t>
            </w:r>
            <w:r w:rsidR="00460CF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103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460CF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A874E3" w:rsidRPr="00F4434F" w:rsidTr="00E67F87">
        <w:trPr>
          <w:trHeight w:val="1621"/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4.)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Városüzemeltetési szolgáltatások: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- 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Parkgondozás, növénytermesztés</w:t>
            </w:r>
          </w:p>
          <w:p w:rsidR="00A874E3" w:rsidRPr="00ED6920" w:rsidRDefault="00A874E3" w:rsidP="00A874E3">
            <w:pPr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- Városüzemeltetési és köztisztasági   tevékenység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- Eb rendészeti tevékenység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- Temető üzemeltetés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- Hómunka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63 515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5 584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12 560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9 583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15 554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4D5F98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73 355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0C5666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  <w:r w:rsidR="00A874E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02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00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9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00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125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4D5F98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  <w:r w:rsidR="00A874E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344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840</w:t>
            </w:r>
          </w:p>
          <w:p w:rsidR="00A874E3" w:rsidRPr="00ED6920" w:rsidRDefault="004D5F98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25</w:t>
            </w:r>
            <w:r w:rsidR="00A874E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855</w:t>
            </w:r>
          </w:p>
          <w:p w:rsidR="00A874E3" w:rsidRPr="00ED6920" w:rsidRDefault="004D5F98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26</w:t>
            </w:r>
            <w:r w:rsidR="00A874E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07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113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  <w:p w:rsidR="00A874E3" w:rsidRPr="00ED6920" w:rsidRDefault="00CE1C4B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110</w:t>
            </w:r>
            <w:r w:rsidR="00A874E3"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71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9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</w:t>
            </w:r>
            <w:r w:rsidR="000C5666">
              <w:rPr>
                <w:rFonts w:ascii="Times New Roman" w:hAnsi="Times New Roman"/>
                <w:sz w:val="20"/>
                <w:szCs w:val="20"/>
                <w:lang w:eastAsia="hu-HU"/>
              </w:rPr>
              <w:t>43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4D5F98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9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1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146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Városüzemeltetési, köztisztasági tevékenység összesen: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116 796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0C566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0C566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057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4D5F9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4D5F9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1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20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1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</w:t>
            </w:r>
            <w:r w:rsidR="000C566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0C566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5.)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Ingatlangazdálkodási tevékenységek 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- 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Társasházak képviselete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 Saját tulajdonú ingatlan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bérbeadás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9 819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19 643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840</w:t>
            </w:r>
          </w:p>
          <w:p w:rsidR="00A874E3" w:rsidRPr="00ED6920" w:rsidRDefault="00355AE5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19 397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355AE5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  <w:r w:rsidR="00A874E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478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10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 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86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9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87</w:t>
            </w: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r w:rsidR="00355AE5">
              <w:rPr>
                <w:rFonts w:ascii="Times New Roman" w:hAnsi="Times New Roman"/>
                <w:sz w:val="20"/>
                <w:szCs w:val="20"/>
                <w:lang w:eastAsia="hu-HU"/>
              </w:rPr>
              <w:t>8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Ingatlangazdálkodás összesen: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39 462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9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 93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355AE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6.) Fátyol Virágüzlet árbevétele: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21 937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  <w:r w:rsidR="00CE1C4B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E1C4B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CE1C4B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E1C4B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CE1C4B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7.) Fátyol Temetkezési szolgáltatás árbevétele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30 266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CE1C4B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7,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1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25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CE1C4B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8.) Számviteli, pénzügyi, bérszámfejtési szolgáltatási tevékenység: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16 867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Default="009310B8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100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4E3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99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9.) Sportlétesítmény üzemeltetése: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8 771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Pr="00ED6920" w:rsidRDefault="009310B8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8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00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Default="009310B8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4E3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107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9310B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4E3" w:rsidRDefault="009310B8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109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.) Egyéb tevékenység összesen: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15 494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0C5666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0C5666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  <w:r w:rsidR="00A874E3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85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,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Tevékenységek árbevétele összesen: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410 934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677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 4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31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0C5666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514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 xml:space="preserve"> 101,</w:t>
            </w:r>
            <w:r w:rsidR="000C56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10</w:t>
            </w:r>
            <w:r w:rsidR="000C56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5</w:t>
            </w:r>
            <w:r w:rsidRPr="00ED692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,</w:t>
            </w:r>
            <w:r w:rsidR="000C566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2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Egyéb bevételek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194 034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49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F15606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373</w:t>
            </w:r>
            <w:r w:rsidR="00A874E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069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192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149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Árbevétel és egyéb bevételek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1 604 968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1 6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1 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 xml:space="preserve">04 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874E3" w:rsidRPr="00ED6920" w:rsidRDefault="00F15606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</w:t>
            </w:r>
            <w:r w:rsidR="00A874E3"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</w:p>
        </w:tc>
      </w:tr>
      <w:tr w:rsidR="00A874E3" w:rsidRPr="00F4434F" w:rsidTr="00F97C22">
        <w:trPr>
          <w:trHeight w:val="368"/>
          <w:jc w:val="center"/>
        </w:trPr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- 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Pénzügyi műveletek bevétele:</w:t>
            </w:r>
          </w:p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238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</w:p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F15606" w:rsidP="00F156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4 211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Default="00F15606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1 769,3</w:t>
            </w:r>
          </w:p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874E3" w:rsidRPr="00ED6920" w:rsidRDefault="00F15606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35 091,7</w:t>
            </w:r>
          </w:p>
        </w:tc>
      </w:tr>
      <w:tr w:rsidR="00A874E3" w:rsidRPr="00F4434F" w:rsidTr="00E67F87">
        <w:trPr>
          <w:jc w:val="center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ED692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Összes bevétel: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1 605 206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1 6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1 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808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794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4E3" w:rsidRPr="00ED6920" w:rsidRDefault="00A874E3" w:rsidP="00A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</w:t>
            </w:r>
            <w:r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 w:rsidR="00F15606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874E3" w:rsidRPr="00ED6920" w:rsidRDefault="00F15606" w:rsidP="00A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</w:t>
            </w:r>
            <w:r w:rsidR="00A874E3" w:rsidRPr="00ED692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</w:t>
            </w:r>
          </w:p>
        </w:tc>
      </w:tr>
    </w:tbl>
    <w:p w:rsidR="002B16D1" w:rsidRDefault="002B16D1" w:rsidP="002B16D1">
      <w:pPr>
        <w:rPr>
          <w:rFonts w:ascii="Times New Roman" w:hAnsi="Times New Roman"/>
          <w:sz w:val="24"/>
          <w:szCs w:val="24"/>
        </w:rPr>
      </w:pPr>
    </w:p>
    <w:p w:rsidR="003928C9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C87B5D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2</w:t>
      </w:r>
      <w:r w:rsidR="00184482">
        <w:rPr>
          <w:rFonts w:ascii="Times New Roman" w:hAnsi="Times New Roman"/>
          <w:bCs/>
          <w:sz w:val="24"/>
          <w:szCs w:val="24"/>
          <w:lang w:eastAsia="hu-HU"/>
        </w:rPr>
        <w:t>01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="00184482">
        <w:rPr>
          <w:rFonts w:ascii="Times New Roman" w:hAnsi="Times New Roman"/>
          <w:bCs/>
          <w:sz w:val="24"/>
          <w:szCs w:val="24"/>
          <w:lang w:eastAsia="hu-HU"/>
        </w:rPr>
        <w:t>. üzleti év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ben a Társaság</w:t>
      </w:r>
      <w:r w:rsidRPr="00C87B5D">
        <w:rPr>
          <w:rFonts w:ascii="Times New Roman" w:hAnsi="Times New Roman"/>
          <w:bCs/>
          <w:sz w:val="24"/>
          <w:szCs w:val="24"/>
          <w:lang w:eastAsia="hu-HU"/>
        </w:rPr>
        <w:t xml:space="preserve"> tevékenységének </w:t>
      </w:r>
      <w:r w:rsidR="00184482">
        <w:rPr>
          <w:rFonts w:ascii="Times New Roman" w:hAnsi="Times New Roman"/>
          <w:bCs/>
          <w:sz w:val="24"/>
          <w:szCs w:val="24"/>
          <w:lang w:eastAsia="hu-HU"/>
        </w:rPr>
        <w:t xml:space="preserve">összes </w:t>
      </w:r>
      <w:r w:rsidRPr="00C87B5D">
        <w:rPr>
          <w:rFonts w:ascii="Times New Roman" w:hAnsi="Times New Roman"/>
          <w:bCs/>
          <w:sz w:val="24"/>
          <w:szCs w:val="24"/>
          <w:lang w:eastAsia="hu-HU"/>
        </w:rPr>
        <w:t xml:space="preserve">bevétele 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12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,7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százalék</w:t>
      </w:r>
      <w:r w:rsidRPr="00C87B5D">
        <w:rPr>
          <w:rFonts w:ascii="Times New Roman" w:hAnsi="Times New Roman"/>
          <w:bCs/>
          <w:sz w:val="24"/>
          <w:szCs w:val="24"/>
          <w:lang w:eastAsia="hu-HU"/>
        </w:rPr>
        <w:t xml:space="preserve">kal 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növekedett</w:t>
      </w:r>
      <w:r w:rsidR="009778FC">
        <w:rPr>
          <w:rFonts w:ascii="Times New Roman" w:hAnsi="Times New Roman"/>
          <w:bCs/>
          <w:sz w:val="24"/>
          <w:szCs w:val="24"/>
          <w:lang w:eastAsia="hu-HU"/>
        </w:rPr>
        <w:t xml:space="preserve"> a 201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7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 üzleti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év </w:t>
      </w:r>
      <w:r w:rsidR="00184482">
        <w:rPr>
          <w:rFonts w:ascii="Times New Roman" w:hAnsi="Times New Roman"/>
          <w:bCs/>
          <w:sz w:val="24"/>
          <w:szCs w:val="24"/>
          <w:lang w:eastAsia="hu-HU"/>
        </w:rPr>
        <w:t>össze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s</w:t>
      </w:r>
      <w:r w:rsidR="00184482">
        <w:rPr>
          <w:rFonts w:ascii="Times New Roman" w:hAnsi="Times New Roman"/>
          <w:bCs/>
          <w:sz w:val="24"/>
          <w:szCs w:val="24"/>
          <w:lang w:eastAsia="hu-HU"/>
        </w:rPr>
        <w:t xml:space="preserve"> bevétel</w:t>
      </w:r>
      <w:r w:rsidR="00975FD6"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="00184482">
        <w:rPr>
          <w:rFonts w:ascii="Times New Roman" w:hAnsi="Times New Roman"/>
          <w:bCs/>
          <w:sz w:val="24"/>
          <w:szCs w:val="24"/>
          <w:lang w:eastAsia="hu-HU"/>
        </w:rPr>
        <w:t xml:space="preserve">hez </w:t>
      </w:r>
      <w:r>
        <w:rPr>
          <w:rFonts w:ascii="Times New Roman" w:hAnsi="Times New Roman"/>
          <w:bCs/>
          <w:sz w:val="24"/>
          <w:szCs w:val="24"/>
          <w:lang w:eastAsia="hu-HU"/>
        </w:rPr>
        <w:t>vis</w:t>
      </w:r>
      <w:r w:rsidR="009778FC">
        <w:rPr>
          <w:rFonts w:ascii="Times New Roman" w:hAnsi="Times New Roman"/>
          <w:bCs/>
          <w:sz w:val="24"/>
          <w:szCs w:val="24"/>
          <w:lang w:eastAsia="hu-HU"/>
        </w:rPr>
        <w:t>zonyítva. Összehasonlítva a 201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. évi tervadatokkal, 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12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3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százalékkal terv </w:t>
      </w:r>
      <w:r w:rsidR="00D82C2F">
        <w:rPr>
          <w:rFonts w:ascii="Times New Roman" w:hAnsi="Times New Roman"/>
          <w:bCs/>
          <w:sz w:val="24"/>
          <w:szCs w:val="24"/>
          <w:lang w:eastAsia="hu-HU"/>
        </w:rPr>
        <w:t>felett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teljesített a Társaság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 az összes bevétel vonatkozásában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2B7762" w:rsidRDefault="002B7762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B7762" w:rsidRDefault="002B7762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B7762" w:rsidRDefault="002B7762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lastRenderedPageBreak/>
        <w:t>A Társaság hulladékgazdálkodási tevékenysége a folyamatos jogszabályi környezet változása mellett</w:t>
      </w:r>
      <w:r w:rsidR="008D4CF1">
        <w:rPr>
          <w:rFonts w:ascii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201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>. év</w:t>
      </w:r>
      <w:r w:rsidR="0095269C">
        <w:rPr>
          <w:rFonts w:ascii="Times New Roman" w:hAnsi="Times New Roman"/>
          <w:bCs/>
          <w:sz w:val="24"/>
          <w:szCs w:val="24"/>
          <w:lang w:eastAsia="hu-HU"/>
        </w:rPr>
        <w:t>i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teljesítmény</w:t>
      </w:r>
      <w:r w:rsidR="0095269C">
        <w:rPr>
          <w:rFonts w:ascii="Times New Roman" w:hAnsi="Times New Roman"/>
          <w:bCs/>
          <w:sz w:val="24"/>
          <w:szCs w:val="24"/>
          <w:lang w:eastAsia="hu-HU"/>
        </w:rPr>
        <w:t>ében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4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9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 xml:space="preserve"> százalékos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növeked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>és</w:t>
      </w:r>
      <w:r>
        <w:rPr>
          <w:rFonts w:ascii="Times New Roman" w:hAnsi="Times New Roman"/>
          <w:bCs/>
          <w:sz w:val="24"/>
          <w:szCs w:val="24"/>
          <w:lang w:eastAsia="hu-HU"/>
        </w:rPr>
        <w:t>t eredményezett az előző évhez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 xml:space="preserve"> képest</w:t>
      </w:r>
      <w:r>
        <w:rPr>
          <w:rFonts w:ascii="Times New Roman" w:hAnsi="Times New Roman"/>
          <w:bCs/>
          <w:sz w:val="24"/>
          <w:szCs w:val="24"/>
          <w:lang w:eastAsia="hu-HU"/>
        </w:rPr>
        <w:t>, a terv árbevétel vonatkozásában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1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7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2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 xml:space="preserve"> százalékos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növeked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ést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257B2A">
        <w:rPr>
          <w:rFonts w:ascii="Times New Roman" w:hAnsi="Times New Roman"/>
          <w:bCs/>
          <w:sz w:val="24"/>
          <w:szCs w:val="24"/>
          <w:lang w:eastAsia="hu-HU"/>
        </w:rPr>
        <w:t>produkált.</w:t>
      </w:r>
    </w:p>
    <w:p w:rsidR="003928C9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Az energiaszolgáltatás árbevételének az előző év árbevétel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é</w:t>
      </w:r>
      <w:r>
        <w:rPr>
          <w:rFonts w:ascii="Times New Roman" w:hAnsi="Times New Roman"/>
          <w:bCs/>
          <w:sz w:val="24"/>
          <w:szCs w:val="24"/>
          <w:lang w:eastAsia="hu-HU"/>
        </w:rPr>
        <w:t>hez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képest mutatkozó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csökkenés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="000B3D78">
        <w:rPr>
          <w:rFonts w:ascii="Times New Roman" w:hAnsi="Times New Roman"/>
          <w:bCs/>
          <w:sz w:val="24"/>
          <w:szCs w:val="24"/>
          <w:lang w:eastAsia="hu-HU"/>
        </w:rPr>
        <w:t>ben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távhőszolgáltatási tevékenység 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szolgáltatási </w:t>
      </w:r>
      <w:r w:rsidR="0095269C">
        <w:rPr>
          <w:rFonts w:ascii="Times New Roman" w:hAnsi="Times New Roman"/>
          <w:bCs/>
          <w:sz w:val="24"/>
          <w:szCs w:val="24"/>
          <w:lang w:eastAsia="hu-HU"/>
        </w:rPr>
        <w:t>díjá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nak változatlansága mellett az áramtermelés árbevétel </w:t>
      </w:r>
      <w:r w:rsidR="000B3D78">
        <w:rPr>
          <w:rFonts w:ascii="Times New Roman" w:hAnsi="Times New Roman"/>
          <w:bCs/>
          <w:sz w:val="24"/>
          <w:szCs w:val="24"/>
          <w:lang w:eastAsia="hu-HU"/>
        </w:rPr>
        <w:t>emelkedésnek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 hatása érv</w:t>
      </w:r>
      <w:r>
        <w:rPr>
          <w:rFonts w:ascii="Times New Roman" w:hAnsi="Times New Roman"/>
          <w:bCs/>
          <w:sz w:val="24"/>
          <w:szCs w:val="24"/>
          <w:lang w:eastAsia="hu-HU"/>
        </w:rPr>
        <w:t>ényesült.</w:t>
      </w:r>
    </w:p>
    <w:p w:rsidR="003928C9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Jelentős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ebb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eltérés mutatkozik az építőipari szolgáltatások teljesítményében, amelyet erőteljesen befolyásol a megrendelések, kiírt pályázatok volumene és a szezonális hatások. Az előző év teljesítményéhez képest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15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2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százalékos</w:t>
      </w:r>
      <w:r w:rsidR="0095269C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a tervhez képest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15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95269C">
        <w:rPr>
          <w:rFonts w:ascii="Times New Roman" w:hAnsi="Times New Roman"/>
          <w:bCs/>
          <w:sz w:val="24"/>
          <w:szCs w:val="24"/>
          <w:lang w:eastAsia="hu-HU"/>
        </w:rPr>
        <w:t>1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>százalékos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növekedés</w:t>
      </w:r>
      <w:r>
        <w:rPr>
          <w:rFonts w:ascii="Times New Roman" w:hAnsi="Times New Roman"/>
          <w:bCs/>
          <w:sz w:val="24"/>
          <w:szCs w:val="24"/>
          <w:lang w:eastAsia="hu-HU"/>
        </w:rPr>
        <w:t>t eredményezett árbevétele az építőipari szolgáltatásoknak.</w:t>
      </w:r>
    </w:p>
    <w:p w:rsidR="002B7762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városüzemeltetési és köztisztasági tevékenységek közül a parkgondozási és a hó és síkosság mentesítési tevékenység esetében a szezonális</w:t>
      </w:r>
      <w:r w:rsidR="002B7762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hatás, az időjárási viszonyok alakulása meghatározó. Az előző év árbevételéhez viszonyítva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20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6</w:t>
      </w:r>
      <w:r w:rsidR="000133A9">
        <w:rPr>
          <w:rFonts w:ascii="Times New Roman" w:hAnsi="Times New Roman"/>
          <w:bCs/>
          <w:sz w:val="24"/>
          <w:szCs w:val="24"/>
          <w:lang w:eastAsia="hu-HU"/>
        </w:rPr>
        <w:t xml:space="preserve"> százalékos,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tervhez viszonyítva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0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6</w:t>
      </w:r>
      <w:r w:rsidR="002B7762">
        <w:rPr>
          <w:rFonts w:ascii="Times New Roman" w:hAnsi="Times New Roman"/>
          <w:bCs/>
          <w:sz w:val="24"/>
          <w:szCs w:val="24"/>
          <w:lang w:eastAsia="hu-HU"/>
        </w:rPr>
        <w:t xml:space="preserve"> százalékos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növekedés mértéke a városüzemeltetési és köztisztasági tevékenység esetében.</w:t>
      </w:r>
    </w:p>
    <w:p w:rsidR="00FD2EEB" w:rsidRDefault="002B7762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Társaság ingatlangazdálkodási tevékenysége tekintetében a társasházak képviseleti és könyvelési tevékenysége egyenletes, kiegyensúlyozott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 és minimális 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növekedést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 eredményezett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, a saját tulajdonú ingatlanok bérbeadása tekintetében 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>kis mértékű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>csökkené</w:t>
      </w:r>
      <w:r>
        <w:rPr>
          <w:rFonts w:ascii="Times New Roman" w:hAnsi="Times New Roman"/>
          <w:bCs/>
          <w:sz w:val="24"/>
          <w:szCs w:val="24"/>
          <w:lang w:eastAsia="hu-HU"/>
        </w:rPr>
        <w:t>s mutatkozik az előző évhez viszonyítva</w:t>
      </w:r>
      <w:r w:rsidR="00FD2EEB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FD2EEB" w:rsidRDefault="00FD2EEB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Szintén egyenletes teljesítményt eredményez a Társaság számviteli, pénzügyi és bérszámfejtési szolgáltatása. 201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>. évben minimális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0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9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 százalékos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növeked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és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mutatkozik teljesítményében.</w:t>
      </w:r>
    </w:p>
    <w:p w:rsidR="00FD2EEB" w:rsidRDefault="00FD2EEB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Jégpálya üzemeltetés elért árbevétele a terv és előző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 xml:space="preserve"> év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tény ár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bevételhez viszonyítva is </w:t>
      </w:r>
      <w:r w:rsidR="004E235A">
        <w:rPr>
          <w:rFonts w:ascii="Times New Roman" w:hAnsi="Times New Roman"/>
          <w:bCs/>
          <w:sz w:val="24"/>
          <w:szCs w:val="24"/>
          <w:lang w:eastAsia="hu-HU"/>
        </w:rPr>
        <w:t>növeked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ést eredményezett, minimális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7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2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százalékos arányban.  </w:t>
      </w:r>
    </w:p>
    <w:p w:rsidR="003928C9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Jelentős 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növekedés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mutatkozik az egyéb tevékenység árbevétele esetében. Az egyéb tevékenységek között meghatározó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nak mutatkozik </w:t>
      </w:r>
      <w:r>
        <w:rPr>
          <w:rFonts w:ascii="Times New Roman" w:hAnsi="Times New Roman"/>
          <w:bCs/>
          <w:sz w:val="24"/>
          <w:szCs w:val="24"/>
          <w:lang w:eastAsia="hu-HU"/>
        </w:rPr>
        <w:t>a közvetített szolgáltatások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 árbevételének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>növekedése</w:t>
      </w:r>
      <w:r w:rsidR="00FD2EEB">
        <w:rPr>
          <w:rFonts w:ascii="Times New Roman" w:hAnsi="Times New Roman"/>
          <w:bCs/>
          <w:sz w:val="24"/>
          <w:szCs w:val="24"/>
          <w:lang w:eastAsia="hu-HU"/>
        </w:rPr>
        <w:t xml:space="preserve">. </w:t>
      </w:r>
    </w:p>
    <w:p w:rsidR="003928C9" w:rsidRDefault="003928C9" w:rsidP="009835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Kedvezően alakul évről-évre a Fátyol Temetkezési szolgáltatás tevékenységéből elért árbevétel, a tervhez és az előző évhez viszonyítva is 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>2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5,9</w:t>
      </w:r>
      <w:r w:rsidR="00B976AE">
        <w:rPr>
          <w:rFonts w:ascii="Times New Roman" w:hAnsi="Times New Roman"/>
          <w:bCs/>
          <w:sz w:val="24"/>
          <w:szCs w:val="24"/>
          <w:lang w:eastAsia="hu-HU"/>
        </w:rPr>
        <w:t xml:space="preserve"> és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27,6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 százalék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os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növekedés</w:t>
      </w:r>
      <w:r w:rsidR="002B7762">
        <w:rPr>
          <w:rFonts w:ascii="Times New Roman" w:hAnsi="Times New Roman"/>
          <w:bCs/>
          <w:sz w:val="24"/>
          <w:szCs w:val="24"/>
          <w:lang w:eastAsia="hu-HU"/>
        </w:rPr>
        <w:t>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mutat</w:t>
      </w:r>
      <w:r w:rsidR="002B7762">
        <w:rPr>
          <w:rFonts w:ascii="Times New Roman" w:hAnsi="Times New Roman"/>
          <w:bCs/>
          <w:sz w:val="24"/>
          <w:szCs w:val="24"/>
          <w:lang w:eastAsia="hu-HU"/>
        </w:rPr>
        <w:t xml:space="preserve"> a szolgáltatások teljesítménye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737017" w:rsidRDefault="00737017" w:rsidP="009835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E1684" w:rsidRDefault="003928C9" w:rsidP="009835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Az egyéb bevételek között meghatározó a távhőszolgáltat</w:t>
      </w:r>
      <w:r w:rsidR="00737017">
        <w:rPr>
          <w:rFonts w:ascii="Times New Roman" w:hAnsi="Times New Roman"/>
          <w:bCs/>
          <w:sz w:val="24"/>
          <w:szCs w:val="24"/>
          <w:lang w:eastAsia="hu-HU"/>
        </w:rPr>
        <w:t>ási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támogatás mértékének alakulása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, amely önmagában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67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százalékos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növekedést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eredményezett</w:t>
      </w:r>
      <w:r w:rsidR="00F71291">
        <w:rPr>
          <w:rFonts w:ascii="Times New Roman" w:hAnsi="Times New Roman"/>
          <w:bCs/>
          <w:sz w:val="24"/>
          <w:szCs w:val="24"/>
          <w:lang w:eastAsia="hu-HU"/>
        </w:rPr>
        <w:t>, oka elsősorban a megállapított támogatási mértékből származik.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gramStart"/>
      <w:r w:rsidR="007E1684">
        <w:rPr>
          <w:rFonts w:ascii="Times New Roman" w:hAnsi="Times New Roman"/>
          <w:bCs/>
          <w:sz w:val="24"/>
          <w:szCs w:val="24"/>
          <w:lang w:eastAsia="hu-HU"/>
        </w:rPr>
        <w:t>C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>sökkenést mutatott</w:t>
      </w:r>
      <w:proofErr w:type="gramEnd"/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a közfoglalkoztatás támogatásának csökkenése, amelyet az alkalmaz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ott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létszám csökkenése okozott.</w:t>
      </w:r>
      <w:r w:rsidR="00F71291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További</w:t>
      </w:r>
      <w:r w:rsidR="00F71291">
        <w:rPr>
          <w:rFonts w:ascii="Times New Roman" w:hAnsi="Times New Roman"/>
          <w:bCs/>
          <w:sz w:val="24"/>
          <w:szCs w:val="24"/>
          <w:lang w:eastAsia="hu-HU"/>
        </w:rPr>
        <w:t xml:space="preserve"> csökkenést eredményezett a széndioxid kvóta térítésmentesen kiosztott mennyiségének folyamatos csökkenése.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 xml:space="preserve"> Jelentős mértékű a vevő követelések képzett értékvesztésének megtérülésből, illetve leírásból eredő visszaírásból származó egyéb bevétel összegének növekedése</w:t>
      </w:r>
      <w:r w:rsidR="009151BF">
        <w:rPr>
          <w:rFonts w:ascii="Times New Roman" w:hAnsi="Times New Roman"/>
          <w:bCs/>
          <w:sz w:val="24"/>
          <w:szCs w:val="24"/>
          <w:lang w:eastAsia="hu-HU"/>
        </w:rPr>
        <w:t xml:space="preserve">. A befolyt követelések esetében a késedelmi kamatok és a követeléskezelés költségeinek megtérülése is jelentős mértékű egyéb bevétel növekedést </w:t>
      </w:r>
      <w:proofErr w:type="spellStart"/>
      <w:r w:rsidR="009151BF">
        <w:rPr>
          <w:rFonts w:ascii="Times New Roman" w:hAnsi="Times New Roman"/>
          <w:bCs/>
          <w:sz w:val="24"/>
          <w:szCs w:val="24"/>
          <w:lang w:eastAsia="hu-HU"/>
        </w:rPr>
        <w:t>eredméynezett</w:t>
      </w:r>
      <w:proofErr w:type="spellEnd"/>
      <w:r w:rsidR="009151B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7E1684" w:rsidRDefault="007E1684" w:rsidP="009835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AF7DE2" w:rsidRDefault="003928C9" w:rsidP="009835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201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. évben az előző évhez viszonyítva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92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3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FD2EEB">
        <w:rPr>
          <w:rFonts w:ascii="Times New Roman" w:hAnsi="Times New Roman"/>
          <w:bCs/>
          <w:sz w:val="24"/>
          <w:szCs w:val="24"/>
          <w:lang w:eastAsia="hu-HU"/>
        </w:rPr>
        <w:t>százaléko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s, a tervhez viszonyítva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49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>6</w:t>
      </w:r>
      <w:r w:rsidR="006B1364">
        <w:rPr>
          <w:rFonts w:ascii="Times New Roman" w:hAnsi="Times New Roman"/>
          <w:bCs/>
          <w:sz w:val="24"/>
          <w:szCs w:val="24"/>
          <w:lang w:eastAsia="hu-HU"/>
        </w:rPr>
        <w:t xml:space="preserve"> százalékos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E1684">
        <w:rPr>
          <w:rFonts w:ascii="Times New Roman" w:hAnsi="Times New Roman"/>
          <w:bCs/>
          <w:sz w:val="24"/>
          <w:szCs w:val="24"/>
          <w:lang w:eastAsia="hu-HU"/>
        </w:rPr>
        <w:t>növekedés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mutatkozott az egyéb bevételek esetében</w:t>
      </w:r>
      <w:r w:rsidR="00E72074">
        <w:rPr>
          <w:rFonts w:ascii="Times New Roman" w:hAnsi="Times New Roman"/>
          <w:bCs/>
          <w:sz w:val="24"/>
          <w:szCs w:val="24"/>
          <w:lang w:eastAsia="hu-HU"/>
        </w:rPr>
        <w:t xml:space="preserve"> összeségében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D91717" w:rsidRPr="009835E3" w:rsidRDefault="00D91717" w:rsidP="009835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B16D1" w:rsidRPr="003928C9" w:rsidRDefault="002B16D1" w:rsidP="002B16D1">
      <w:pPr>
        <w:rPr>
          <w:rFonts w:ascii="Times New Roman" w:hAnsi="Times New Roman"/>
          <w:b/>
          <w:sz w:val="24"/>
          <w:szCs w:val="24"/>
        </w:rPr>
      </w:pPr>
      <w:r w:rsidRPr="003928C9">
        <w:rPr>
          <w:rFonts w:ascii="Times New Roman" w:hAnsi="Times New Roman"/>
          <w:b/>
          <w:sz w:val="24"/>
          <w:szCs w:val="24"/>
        </w:rPr>
        <w:t>2.2. Költségek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5"/>
        <w:gridCol w:w="1156"/>
        <w:gridCol w:w="1094"/>
        <w:gridCol w:w="1094"/>
        <w:gridCol w:w="1518"/>
        <w:gridCol w:w="1365"/>
      </w:tblGrid>
      <w:tr w:rsidR="003928C9" w:rsidRPr="00F4434F" w:rsidTr="00EE7981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C9" w:rsidRPr="008256EF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25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Megnev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ez</w:t>
            </w:r>
            <w:r w:rsidRPr="00825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406988" w:rsidRDefault="003928C9" w:rsidP="0062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  <w:r w:rsidR="00D533A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  <w:r w:rsidR="00A050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tény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928C9" w:rsidRPr="00406988" w:rsidRDefault="003928C9" w:rsidP="0062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201</w:t>
            </w:r>
            <w:r w:rsidR="00D533A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. terv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406988" w:rsidRDefault="003928C9" w:rsidP="0062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  <w:r w:rsidR="00D533A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.</w:t>
            </w:r>
            <w:r w:rsidR="00A050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tény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Index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Index</w:t>
            </w:r>
          </w:p>
        </w:tc>
      </w:tr>
      <w:tr w:rsidR="003928C9" w:rsidRPr="00F4434F" w:rsidTr="00EE7981">
        <w:trPr>
          <w:jc w:val="center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8256EF" w:rsidRDefault="003928C9" w:rsidP="00F76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eFt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069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előző év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i tényhez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28C9" w:rsidRPr="00406988" w:rsidRDefault="003928C9" w:rsidP="00F7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tárgy évi tervhez</w:t>
            </w:r>
          </w:p>
        </w:tc>
      </w:tr>
      <w:tr w:rsidR="00AC7C98" w:rsidRPr="00F4434F" w:rsidTr="00B1678B">
        <w:trPr>
          <w:jc w:val="center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C98" w:rsidRPr="008256EF" w:rsidRDefault="00AC7C98" w:rsidP="00AC7C9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256EF">
              <w:rPr>
                <w:rFonts w:ascii="Times New Roman" w:hAnsi="Times New Roman"/>
                <w:lang w:eastAsia="hu-HU"/>
              </w:rPr>
              <w:t xml:space="preserve">1. </w:t>
            </w:r>
            <w:r w:rsidRPr="008256EF">
              <w:rPr>
                <w:rFonts w:ascii="Times New Roman" w:hAnsi="Times New Roman"/>
                <w:u w:val="single"/>
                <w:lang w:eastAsia="hu-HU"/>
              </w:rPr>
              <w:t>Anyagjellegű ráfordítások</w:t>
            </w:r>
          </w:p>
          <w:p w:rsidR="00AC7C98" w:rsidRPr="008256EF" w:rsidRDefault="00AC7C98" w:rsidP="00AC7C9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- </w:t>
            </w:r>
            <w:r w:rsidRPr="008256EF">
              <w:rPr>
                <w:rFonts w:ascii="Times New Roman" w:hAnsi="Times New Roman"/>
                <w:lang w:eastAsia="hu-HU"/>
              </w:rPr>
              <w:t>anyag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Pr="008256EF">
              <w:rPr>
                <w:rFonts w:ascii="Times New Roman" w:hAnsi="Times New Roman"/>
                <w:lang w:eastAsia="hu-HU"/>
              </w:rPr>
              <w:t>költség</w:t>
            </w:r>
          </w:p>
          <w:p w:rsidR="00AC7C98" w:rsidRPr="00180F9D" w:rsidRDefault="00AC7C98" w:rsidP="00AC7C98">
            <w:pPr>
              <w:spacing w:after="0" w:line="240" w:lineRule="auto"/>
              <w:rPr>
                <w:rFonts w:ascii="Times New Roman" w:hAnsi="Times New Roman"/>
                <w:u w:val="single"/>
                <w:lang w:eastAsia="hu-HU"/>
              </w:rPr>
            </w:pPr>
            <w:r w:rsidRPr="00180F9D">
              <w:rPr>
                <w:rFonts w:ascii="Times New Roman" w:hAnsi="Times New Roman"/>
                <w:u w:val="single"/>
                <w:lang w:eastAsia="hu-HU"/>
              </w:rPr>
              <w:t xml:space="preserve">- </w:t>
            </w:r>
            <w:r>
              <w:rPr>
                <w:rFonts w:ascii="Times New Roman" w:hAnsi="Times New Roman"/>
                <w:u w:val="single"/>
                <w:lang w:eastAsia="hu-HU"/>
              </w:rPr>
              <w:t>s</w:t>
            </w:r>
            <w:r w:rsidRPr="00180F9D">
              <w:rPr>
                <w:rFonts w:ascii="Times New Roman" w:hAnsi="Times New Roman"/>
                <w:u w:val="single"/>
                <w:lang w:eastAsia="hu-HU"/>
              </w:rPr>
              <w:t>zolgáltatás</w:t>
            </w:r>
            <w:r>
              <w:rPr>
                <w:rFonts w:ascii="Times New Roman" w:hAnsi="Times New Roman"/>
                <w:u w:val="single"/>
                <w:lang w:eastAsia="hu-HU"/>
              </w:rPr>
              <w:t>ok</w:t>
            </w:r>
          </w:p>
          <w:p w:rsidR="00AC7C98" w:rsidRPr="008256EF" w:rsidRDefault="00AC7C98" w:rsidP="00AC7C98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</w:t>
            </w:r>
            <w:r w:rsidRPr="008256EF">
              <w:rPr>
                <w:rFonts w:ascii="Times New Roman" w:hAnsi="Times New Roman"/>
                <w:lang w:eastAsia="hu-HU"/>
              </w:rPr>
              <w:t xml:space="preserve"> Anyagjellegű ráfordítás: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C98" w:rsidRPr="008256EF" w:rsidRDefault="00AC7C98" w:rsidP="00AC7C98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675C85" w:rsidRPr="008256EF" w:rsidRDefault="00675C85" w:rsidP="00675C85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652 793</w:t>
            </w:r>
          </w:p>
          <w:p w:rsidR="00675C85" w:rsidRPr="00951609" w:rsidRDefault="00675C85" w:rsidP="00675C85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247 586</w:t>
            </w:r>
          </w:p>
          <w:p w:rsidR="00AC7C98" w:rsidRPr="001B3F24" w:rsidRDefault="00675C85" w:rsidP="00675C8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900 379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C98" w:rsidRDefault="00AC7C98" w:rsidP="00AC7C98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AC7C98" w:rsidRDefault="00B1678B" w:rsidP="00AC7C98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</w:t>
            </w:r>
            <w:r w:rsidR="00675C85">
              <w:rPr>
                <w:rFonts w:ascii="Times New Roman" w:hAnsi="Times New Roman"/>
                <w:lang w:eastAsia="hu-HU"/>
              </w:rPr>
              <w:t>87</w:t>
            </w:r>
            <w:r w:rsidR="00AC7C98">
              <w:rPr>
                <w:rFonts w:ascii="Times New Roman" w:hAnsi="Times New Roman"/>
                <w:lang w:eastAsia="hu-HU"/>
              </w:rPr>
              <w:t xml:space="preserve"> </w:t>
            </w:r>
            <w:r w:rsidR="00675C85">
              <w:rPr>
                <w:rFonts w:ascii="Times New Roman" w:hAnsi="Times New Roman"/>
                <w:lang w:eastAsia="hu-HU"/>
              </w:rPr>
              <w:t>415</w:t>
            </w:r>
          </w:p>
          <w:p w:rsidR="00AC7C98" w:rsidRPr="00ED6920" w:rsidRDefault="00675C85" w:rsidP="00AC7C98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177</w:t>
            </w:r>
            <w:r w:rsidR="00AC7C98">
              <w:rPr>
                <w:rFonts w:ascii="Times New Roman" w:hAnsi="Times New Roman"/>
                <w:u w:val="single"/>
                <w:lang w:eastAsia="hu-HU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hu-HU"/>
              </w:rPr>
              <w:t>081</w:t>
            </w:r>
          </w:p>
          <w:p w:rsidR="00AC7C98" w:rsidRPr="00663313" w:rsidRDefault="00675C85" w:rsidP="00AC7C9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864</w:t>
            </w:r>
            <w:r w:rsidR="00B1678B">
              <w:rPr>
                <w:rFonts w:ascii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lang w:eastAsia="hu-HU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C98" w:rsidRPr="008256EF" w:rsidRDefault="00AC7C98" w:rsidP="00AC7C98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AC7C98" w:rsidRPr="008256EF" w:rsidRDefault="00B1678B" w:rsidP="00AC7C98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</w:t>
            </w:r>
            <w:r w:rsidR="00675C85">
              <w:rPr>
                <w:rFonts w:ascii="Times New Roman" w:hAnsi="Times New Roman"/>
                <w:lang w:eastAsia="hu-HU"/>
              </w:rPr>
              <w:t>39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675C85">
              <w:rPr>
                <w:rFonts w:ascii="Times New Roman" w:hAnsi="Times New Roman"/>
                <w:lang w:eastAsia="hu-HU"/>
              </w:rPr>
              <w:t>106</w:t>
            </w:r>
          </w:p>
          <w:p w:rsidR="00AC7C98" w:rsidRPr="00951609" w:rsidRDefault="00AC7C98" w:rsidP="00AC7C98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2</w:t>
            </w:r>
            <w:r w:rsidR="00675C85">
              <w:rPr>
                <w:rFonts w:ascii="Times New Roman" w:hAnsi="Times New Roman"/>
                <w:u w:val="single"/>
                <w:lang w:eastAsia="hu-HU"/>
              </w:rPr>
              <w:t>18</w:t>
            </w:r>
            <w:r>
              <w:rPr>
                <w:rFonts w:ascii="Times New Roman" w:hAnsi="Times New Roman"/>
                <w:u w:val="single"/>
                <w:lang w:eastAsia="hu-HU"/>
              </w:rPr>
              <w:t xml:space="preserve"> </w:t>
            </w:r>
            <w:r w:rsidR="00675C85">
              <w:rPr>
                <w:rFonts w:ascii="Times New Roman" w:hAnsi="Times New Roman"/>
                <w:u w:val="single"/>
                <w:lang w:eastAsia="hu-HU"/>
              </w:rPr>
              <w:t>400</w:t>
            </w:r>
          </w:p>
          <w:p w:rsidR="00AC7C98" w:rsidRPr="001B3F24" w:rsidRDefault="00675C85" w:rsidP="00AC7C9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857</w:t>
            </w:r>
            <w:r w:rsidR="00AC7C98">
              <w:rPr>
                <w:rFonts w:ascii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lang w:eastAsia="hu-H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C98" w:rsidRPr="008256EF" w:rsidRDefault="00AC7C98" w:rsidP="00AC7C98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C7C98" w:rsidRPr="008256EF" w:rsidRDefault="00AC7C98" w:rsidP="00AC7C9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 </w:t>
            </w:r>
            <w:r w:rsidR="00675C85">
              <w:rPr>
                <w:rFonts w:ascii="Times New Roman" w:hAnsi="Times New Roman"/>
                <w:lang w:eastAsia="hu-HU"/>
              </w:rPr>
              <w:t>97,9</w:t>
            </w:r>
          </w:p>
          <w:p w:rsidR="00AC7C98" w:rsidRPr="008256EF" w:rsidRDefault="00675C85" w:rsidP="00AC7C9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 xml:space="preserve">  8</w:t>
            </w:r>
            <w:r w:rsidR="009047E2">
              <w:rPr>
                <w:rFonts w:ascii="Times New Roman" w:hAnsi="Times New Roman"/>
                <w:u w:val="single"/>
                <w:lang w:eastAsia="hu-HU"/>
              </w:rPr>
              <w:t>8</w:t>
            </w:r>
            <w:r w:rsidR="00AC7C98" w:rsidRPr="008256EF">
              <w:rPr>
                <w:rFonts w:ascii="Times New Roman" w:hAnsi="Times New Roman"/>
                <w:u w:val="single"/>
                <w:lang w:eastAsia="hu-HU"/>
              </w:rPr>
              <w:t>,</w:t>
            </w:r>
            <w:r>
              <w:rPr>
                <w:rFonts w:ascii="Times New Roman" w:hAnsi="Times New Roman"/>
                <w:u w:val="single"/>
                <w:lang w:eastAsia="hu-HU"/>
              </w:rPr>
              <w:t>2</w:t>
            </w:r>
          </w:p>
          <w:p w:rsidR="00AC7C98" w:rsidRPr="00D442DE" w:rsidRDefault="00AC7C98" w:rsidP="00AC7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 </w:t>
            </w:r>
            <w:r w:rsidR="009047E2">
              <w:rPr>
                <w:rFonts w:ascii="Times New Roman" w:hAnsi="Times New Roman"/>
                <w:b/>
                <w:lang w:eastAsia="hu-HU"/>
              </w:rPr>
              <w:t>9</w:t>
            </w:r>
            <w:r w:rsidR="00675C85">
              <w:rPr>
                <w:rFonts w:ascii="Times New Roman" w:hAnsi="Times New Roman"/>
                <w:b/>
                <w:lang w:eastAsia="hu-HU"/>
              </w:rPr>
              <w:t>5</w:t>
            </w:r>
            <w:r w:rsidRPr="00D442DE">
              <w:rPr>
                <w:rFonts w:ascii="Times New Roman" w:hAnsi="Times New Roman"/>
                <w:b/>
                <w:lang w:eastAsia="hu-HU"/>
              </w:rPr>
              <w:t>,</w:t>
            </w:r>
            <w:r w:rsidR="00675C85">
              <w:rPr>
                <w:rFonts w:ascii="Times New Roman" w:hAnsi="Times New Roman"/>
                <w:b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7C98" w:rsidRDefault="00AC7C98" w:rsidP="00AC7C9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  <w:p w:rsidR="00675C85" w:rsidRDefault="006705E8" w:rsidP="00AC7C98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9</w:t>
            </w:r>
            <w:r w:rsidR="00675C85">
              <w:rPr>
                <w:rFonts w:ascii="Times New Roman" w:hAnsi="Times New Roman"/>
                <w:lang w:eastAsia="hu-HU"/>
              </w:rPr>
              <w:t>2</w:t>
            </w:r>
            <w:r w:rsidR="00AC7C98">
              <w:rPr>
                <w:rFonts w:ascii="Times New Roman" w:hAnsi="Times New Roman"/>
                <w:lang w:eastAsia="hu-HU"/>
              </w:rPr>
              <w:t>,</w:t>
            </w:r>
            <w:r w:rsidR="00675C85">
              <w:rPr>
                <w:rFonts w:ascii="Times New Roman" w:hAnsi="Times New Roman"/>
                <w:lang w:eastAsia="hu-HU"/>
              </w:rPr>
              <w:t>9</w:t>
            </w:r>
          </w:p>
          <w:p w:rsidR="00AC7C98" w:rsidRPr="007A258B" w:rsidRDefault="00675C85" w:rsidP="00AC7C9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123</w:t>
            </w:r>
            <w:r w:rsidR="00AC7C98" w:rsidRPr="007A258B">
              <w:rPr>
                <w:rFonts w:ascii="Times New Roman" w:hAnsi="Times New Roman"/>
                <w:u w:val="single"/>
                <w:lang w:eastAsia="hu-HU"/>
              </w:rPr>
              <w:t>,</w:t>
            </w:r>
            <w:r>
              <w:rPr>
                <w:rFonts w:ascii="Times New Roman" w:hAnsi="Times New Roman"/>
                <w:u w:val="single"/>
                <w:lang w:eastAsia="hu-HU"/>
              </w:rPr>
              <w:t>3</w:t>
            </w:r>
          </w:p>
          <w:p w:rsidR="00AC7C98" w:rsidRPr="007A258B" w:rsidRDefault="00AC7C98" w:rsidP="00AC7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9</w:t>
            </w:r>
            <w:r w:rsidR="00675C85">
              <w:rPr>
                <w:rFonts w:ascii="Times New Roman" w:hAnsi="Times New Roman"/>
                <w:b/>
                <w:lang w:eastAsia="hu-HU"/>
              </w:rPr>
              <w:t>9</w:t>
            </w:r>
            <w:r w:rsidRPr="007A258B">
              <w:rPr>
                <w:rFonts w:ascii="Times New Roman" w:hAnsi="Times New Roman"/>
                <w:b/>
                <w:lang w:eastAsia="hu-HU"/>
              </w:rPr>
              <w:t>,</w:t>
            </w:r>
            <w:r w:rsidR="00675C85">
              <w:rPr>
                <w:rFonts w:ascii="Times New Roman" w:hAnsi="Times New Roman"/>
                <w:b/>
                <w:lang w:eastAsia="hu-HU"/>
              </w:rPr>
              <w:t>1</w:t>
            </w:r>
          </w:p>
        </w:tc>
      </w:tr>
      <w:tr w:rsidR="00B1678B" w:rsidRPr="00F4434F" w:rsidTr="00B1678B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u w:val="single"/>
                <w:lang w:eastAsia="hu-HU"/>
              </w:rPr>
            </w:pPr>
            <w:r w:rsidRPr="008256EF">
              <w:rPr>
                <w:rFonts w:ascii="Times New Roman" w:hAnsi="Times New Roman"/>
                <w:lang w:eastAsia="hu-HU"/>
              </w:rPr>
              <w:lastRenderedPageBreak/>
              <w:t xml:space="preserve">2. </w:t>
            </w:r>
            <w:r w:rsidRPr="008256EF">
              <w:rPr>
                <w:rFonts w:ascii="Times New Roman" w:hAnsi="Times New Roman"/>
                <w:u w:val="single"/>
                <w:lang w:eastAsia="hu-HU"/>
              </w:rPr>
              <w:t>Személyi jellegű ráfordítások</w:t>
            </w:r>
          </w:p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</w:t>
            </w:r>
            <w:r w:rsidRPr="008256EF">
              <w:rPr>
                <w:rFonts w:ascii="Times New Roman" w:hAnsi="Times New Roman"/>
                <w:lang w:eastAsia="hu-HU"/>
              </w:rPr>
              <w:t xml:space="preserve"> Bérköltség</w:t>
            </w:r>
          </w:p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</w:t>
            </w:r>
            <w:r w:rsidRPr="008256EF">
              <w:rPr>
                <w:rFonts w:ascii="Times New Roman" w:hAnsi="Times New Roman"/>
                <w:lang w:eastAsia="hu-HU"/>
              </w:rPr>
              <w:t xml:space="preserve"> Személyi jellegű egyéb</w:t>
            </w:r>
          </w:p>
          <w:p w:rsidR="00B1678B" w:rsidRPr="00424FD7" w:rsidRDefault="00B1678B" w:rsidP="00B1678B">
            <w:pPr>
              <w:spacing w:after="0" w:line="240" w:lineRule="auto"/>
              <w:rPr>
                <w:rFonts w:ascii="Times New Roman" w:hAnsi="Times New Roman"/>
                <w:u w:val="single"/>
                <w:lang w:eastAsia="hu-HU"/>
              </w:rPr>
            </w:pPr>
            <w:r w:rsidRPr="00424FD7">
              <w:rPr>
                <w:rFonts w:ascii="Times New Roman" w:hAnsi="Times New Roman"/>
                <w:u w:val="single"/>
                <w:lang w:eastAsia="hu-HU"/>
              </w:rPr>
              <w:t>-</w:t>
            </w:r>
            <w:r>
              <w:rPr>
                <w:rFonts w:ascii="Times New Roman" w:hAnsi="Times New Roman"/>
                <w:u w:val="single"/>
                <w:lang w:eastAsia="hu-HU"/>
              </w:rPr>
              <w:t xml:space="preserve"> </w:t>
            </w:r>
            <w:r w:rsidRPr="00424FD7">
              <w:rPr>
                <w:rFonts w:ascii="Times New Roman" w:hAnsi="Times New Roman"/>
                <w:u w:val="single"/>
                <w:lang w:eastAsia="hu-HU"/>
              </w:rPr>
              <w:t>Bér járulék</w:t>
            </w:r>
          </w:p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- </w:t>
            </w:r>
            <w:r w:rsidRPr="008256EF">
              <w:rPr>
                <w:rFonts w:ascii="Times New Roman" w:hAnsi="Times New Roman"/>
                <w:lang w:eastAsia="hu-HU"/>
              </w:rPr>
              <w:t>Személyi jellegű összesen: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2AC" w:rsidRDefault="00CD62AC" w:rsidP="00CD62AC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CD62AC" w:rsidRDefault="00CD62AC" w:rsidP="00CD62AC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CD62AC" w:rsidRPr="008256EF" w:rsidRDefault="00CD62AC" w:rsidP="00CD62AC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360 418</w:t>
            </w:r>
          </w:p>
          <w:p w:rsidR="00CD62AC" w:rsidRPr="008256EF" w:rsidRDefault="00CD62AC" w:rsidP="00CD62AC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85 326</w:t>
            </w:r>
          </w:p>
          <w:p w:rsidR="00CD62AC" w:rsidRPr="008256EF" w:rsidRDefault="00CD62AC" w:rsidP="00CD62AC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86 908</w:t>
            </w:r>
          </w:p>
          <w:p w:rsidR="00B1678B" w:rsidRPr="001B3F24" w:rsidRDefault="00CD62AC" w:rsidP="00CD62A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532 652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B1678B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B1678B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4</w:t>
            </w:r>
            <w:r w:rsidR="00F94526">
              <w:rPr>
                <w:rFonts w:ascii="Times New Roman" w:hAnsi="Times New Roman"/>
                <w:lang w:eastAsia="hu-HU"/>
              </w:rPr>
              <w:t>10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lang w:eastAsia="hu-HU"/>
              </w:rPr>
              <w:t>084</w:t>
            </w:r>
          </w:p>
          <w:p w:rsidR="00B1678B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5</w:t>
            </w:r>
            <w:r w:rsidR="00F94526">
              <w:rPr>
                <w:rFonts w:ascii="Times New Roman" w:hAnsi="Times New Roman"/>
                <w:lang w:eastAsia="hu-HU"/>
              </w:rPr>
              <w:t>7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lang w:eastAsia="hu-HU"/>
              </w:rPr>
              <w:t>487</w:t>
            </w:r>
          </w:p>
          <w:p w:rsidR="00B1678B" w:rsidRPr="00663313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10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0</w:t>
            </w:r>
            <w:r>
              <w:rPr>
                <w:rFonts w:ascii="Times New Roman" w:hAnsi="Times New Roman"/>
                <w:u w:val="single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467</w:t>
            </w:r>
          </w:p>
          <w:p w:rsidR="00B1678B" w:rsidRPr="00663313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5</w:t>
            </w:r>
            <w:r w:rsidR="00F94526">
              <w:rPr>
                <w:rFonts w:ascii="Times New Roman" w:hAnsi="Times New Roman"/>
                <w:b/>
                <w:lang w:eastAsia="hu-HU"/>
              </w:rPr>
              <w:t>68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b/>
                <w:lang w:eastAsia="hu-HU"/>
              </w:rPr>
              <w:t>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B1678B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</w:p>
          <w:p w:rsidR="00B1678B" w:rsidRPr="008256EF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3</w:t>
            </w:r>
            <w:r w:rsidR="00F94526">
              <w:rPr>
                <w:rFonts w:ascii="Times New Roman" w:hAnsi="Times New Roman"/>
                <w:lang w:eastAsia="hu-HU"/>
              </w:rPr>
              <w:t>84 000</w:t>
            </w:r>
          </w:p>
          <w:p w:rsidR="00B1678B" w:rsidRPr="008256EF" w:rsidRDefault="00F94526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92</w:t>
            </w:r>
            <w:r w:rsidR="00B1678B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161</w:t>
            </w:r>
          </w:p>
          <w:p w:rsidR="00B1678B" w:rsidRPr="008256EF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>8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5</w:t>
            </w:r>
            <w:r>
              <w:rPr>
                <w:rFonts w:ascii="Times New Roman" w:hAnsi="Times New Roman"/>
                <w:u w:val="single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551</w:t>
            </w:r>
          </w:p>
          <w:p w:rsidR="00B1678B" w:rsidRPr="001B3F24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5</w:t>
            </w:r>
            <w:r w:rsidR="00F94526">
              <w:rPr>
                <w:rFonts w:ascii="Times New Roman" w:hAnsi="Times New Roman"/>
                <w:b/>
                <w:lang w:eastAsia="hu-HU"/>
              </w:rPr>
              <w:t>61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b/>
                <w:lang w:eastAsia="hu-H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9047E2" w:rsidRDefault="00B1678B" w:rsidP="00B1678B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B1678B" w:rsidRPr="009047E2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9047E2">
              <w:rPr>
                <w:rFonts w:ascii="Times New Roman" w:hAnsi="Times New Roman"/>
                <w:lang w:eastAsia="hu-HU"/>
              </w:rPr>
              <w:t xml:space="preserve">       </w:t>
            </w:r>
          </w:p>
          <w:p w:rsidR="00B1678B" w:rsidRPr="009047E2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9047E2">
              <w:rPr>
                <w:rFonts w:ascii="Times New Roman" w:hAnsi="Times New Roman"/>
                <w:lang w:eastAsia="hu-HU"/>
              </w:rPr>
              <w:t xml:space="preserve">        1</w:t>
            </w:r>
            <w:r w:rsidR="00F94526">
              <w:rPr>
                <w:rFonts w:ascii="Times New Roman" w:hAnsi="Times New Roman"/>
                <w:lang w:eastAsia="hu-HU"/>
              </w:rPr>
              <w:t>06</w:t>
            </w:r>
            <w:r w:rsidRPr="009047E2">
              <w:rPr>
                <w:rFonts w:ascii="Times New Roman" w:hAnsi="Times New Roman"/>
                <w:lang w:eastAsia="hu-HU"/>
              </w:rPr>
              <w:t>,</w:t>
            </w:r>
            <w:r w:rsidR="00F94526">
              <w:rPr>
                <w:rFonts w:ascii="Times New Roman" w:hAnsi="Times New Roman"/>
                <w:lang w:eastAsia="hu-HU"/>
              </w:rPr>
              <w:t>5</w:t>
            </w:r>
          </w:p>
          <w:p w:rsidR="00B1678B" w:rsidRPr="009047E2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9047E2">
              <w:rPr>
                <w:rFonts w:ascii="Times New Roman" w:hAnsi="Times New Roman"/>
                <w:lang w:eastAsia="hu-HU"/>
              </w:rPr>
              <w:t xml:space="preserve">        1</w:t>
            </w:r>
            <w:r w:rsidR="009047E2" w:rsidRPr="009047E2">
              <w:rPr>
                <w:rFonts w:ascii="Times New Roman" w:hAnsi="Times New Roman"/>
                <w:lang w:eastAsia="hu-HU"/>
              </w:rPr>
              <w:t>0</w:t>
            </w:r>
            <w:r w:rsidR="00F94526">
              <w:rPr>
                <w:rFonts w:ascii="Times New Roman" w:hAnsi="Times New Roman"/>
                <w:lang w:eastAsia="hu-HU"/>
              </w:rPr>
              <w:t>8</w:t>
            </w:r>
            <w:r w:rsidRPr="009047E2">
              <w:rPr>
                <w:rFonts w:ascii="Times New Roman" w:hAnsi="Times New Roman"/>
                <w:lang w:eastAsia="hu-HU"/>
              </w:rPr>
              <w:t>,</w:t>
            </w:r>
            <w:r w:rsidR="00F94526">
              <w:rPr>
                <w:rFonts w:ascii="Times New Roman" w:hAnsi="Times New Roman"/>
                <w:lang w:eastAsia="hu-HU"/>
              </w:rPr>
              <w:t>0</w:t>
            </w:r>
          </w:p>
          <w:p w:rsidR="00B1678B" w:rsidRPr="009047E2" w:rsidRDefault="00B1678B" w:rsidP="00B1678B">
            <w:pPr>
              <w:spacing w:after="0" w:line="240" w:lineRule="auto"/>
              <w:rPr>
                <w:rFonts w:ascii="Times New Roman" w:hAnsi="Times New Roman"/>
                <w:u w:val="single"/>
                <w:lang w:eastAsia="hu-HU"/>
              </w:rPr>
            </w:pPr>
            <w:r w:rsidRPr="009047E2">
              <w:rPr>
                <w:rFonts w:ascii="Times New Roman" w:hAnsi="Times New Roman"/>
                <w:lang w:eastAsia="hu-HU"/>
              </w:rPr>
              <w:t xml:space="preserve">        </w:t>
            </w:r>
            <w:r w:rsidR="009047E2" w:rsidRPr="009047E2">
              <w:rPr>
                <w:rFonts w:ascii="Times New Roman" w:hAnsi="Times New Roman"/>
                <w:lang w:eastAsia="hu-HU"/>
              </w:rPr>
              <w:t xml:space="preserve">  </w:t>
            </w:r>
            <w:r w:rsidR="009047E2" w:rsidRPr="009047E2">
              <w:rPr>
                <w:rFonts w:ascii="Times New Roman" w:hAnsi="Times New Roman"/>
                <w:u w:val="single"/>
                <w:lang w:eastAsia="hu-HU"/>
              </w:rPr>
              <w:t>9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8</w:t>
            </w:r>
            <w:r w:rsidRPr="009047E2">
              <w:rPr>
                <w:rFonts w:ascii="Times New Roman" w:hAnsi="Times New Roman"/>
                <w:u w:val="single"/>
                <w:lang w:eastAsia="hu-HU"/>
              </w:rPr>
              <w:t>,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4</w:t>
            </w:r>
          </w:p>
          <w:p w:rsidR="00B1678B" w:rsidRPr="009047E2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9047E2">
              <w:rPr>
                <w:rFonts w:ascii="Times New Roman" w:hAnsi="Times New Roman"/>
                <w:b/>
                <w:lang w:eastAsia="hu-HU"/>
              </w:rPr>
              <w:t>10</w:t>
            </w:r>
            <w:r w:rsidR="00F94526">
              <w:rPr>
                <w:rFonts w:ascii="Times New Roman" w:hAnsi="Times New Roman"/>
                <w:b/>
                <w:lang w:eastAsia="hu-HU"/>
              </w:rPr>
              <w:t>5</w:t>
            </w:r>
            <w:r w:rsidRPr="009047E2">
              <w:rPr>
                <w:rFonts w:ascii="Times New Roman" w:hAnsi="Times New Roman"/>
                <w:b/>
                <w:lang w:eastAsia="hu-HU"/>
              </w:rPr>
              <w:t>,</w:t>
            </w:r>
            <w:r w:rsidR="00F94526">
              <w:rPr>
                <w:rFonts w:ascii="Times New Roman" w:hAnsi="Times New Roman"/>
                <w:b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</w:p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</w:t>
            </w:r>
          </w:p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lang w:eastAsia="hu-HU"/>
              </w:rPr>
              <w:t xml:space="preserve"> 93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F94526">
              <w:rPr>
                <w:rFonts w:ascii="Times New Roman" w:hAnsi="Times New Roman"/>
                <w:lang w:eastAsia="hu-HU"/>
              </w:rPr>
              <w:t>6</w:t>
            </w:r>
          </w:p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</w:t>
            </w:r>
            <w:r w:rsidR="00F94526">
              <w:rPr>
                <w:rFonts w:ascii="Times New Roman" w:hAnsi="Times New Roman"/>
                <w:lang w:eastAsia="hu-HU"/>
              </w:rPr>
              <w:t>60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F94526">
              <w:rPr>
                <w:rFonts w:ascii="Times New Roman" w:hAnsi="Times New Roman"/>
                <w:lang w:eastAsia="hu-HU"/>
              </w:rPr>
              <w:t>3</w:t>
            </w:r>
          </w:p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hu-HU"/>
              </w:rPr>
            </w:pPr>
            <w:r>
              <w:rPr>
                <w:rFonts w:ascii="Times New Roman" w:hAnsi="Times New Roman"/>
                <w:u w:val="single"/>
                <w:lang w:eastAsia="hu-HU"/>
              </w:rPr>
              <w:t xml:space="preserve"> 8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5</w:t>
            </w:r>
            <w:r w:rsidRPr="00A37492">
              <w:rPr>
                <w:rFonts w:ascii="Times New Roman" w:hAnsi="Times New Roman"/>
                <w:u w:val="single"/>
                <w:lang w:eastAsia="hu-HU"/>
              </w:rPr>
              <w:t>,</w:t>
            </w:r>
            <w:r w:rsidR="00F94526">
              <w:rPr>
                <w:rFonts w:ascii="Times New Roman" w:hAnsi="Times New Roman"/>
                <w:u w:val="single"/>
                <w:lang w:eastAsia="hu-HU"/>
              </w:rPr>
              <w:t>1</w:t>
            </w:r>
          </w:p>
          <w:p w:rsidR="00B1678B" w:rsidRPr="00A37492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9</w:t>
            </w:r>
            <w:r w:rsidR="00F94526">
              <w:rPr>
                <w:rFonts w:ascii="Times New Roman" w:hAnsi="Times New Roman"/>
                <w:b/>
                <w:lang w:eastAsia="hu-HU"/>
              </w:rPr>
              <w:t>8</w:t>
            </w:r>
            <w:r>
              <w:rPr>
                <w:rFonts w:ascii="Times New Roman" w:hAnsi="Times New Roman"/>
                <w:b/>
                <w:lang w:eastAsia="hu-HU"/>
              </w:rPr>
              <w:t>,</w:t>
            </w:r>
            <w:r w:rsidR="00F94526">
              <w:rPr>
                <w:rFonts w:ascii="Times New Roman" w:hAnsi="Times New Roman"/>
                <w:b/>
                <w:lang w:eastAsia="hu-HU"/>
              </w:rPr>
              <w:t>9</w:t>
            </w:r>
          </w:p>
        </w:tc>
      </w:tr>
      <w:tr w:rsidR="00B1678B" w:rsidRPr="00F4434F" w:rsidTr="00E16F2D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256EF">
              <w:rPr>
                <w:rFonts w:ascii="Times New Roman" w:hAnsi="Times New Roman"/>
                <w:lang w:eastAsia="hu-HU"/>
              </w:rPr>
              <w:t>3. Értékcsökkenési leírás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1B3F24" w:rsidRDefault="00F94526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83 910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7</w:t>
            </w:r>
            <w:r w:rsidR="00F94526">
              <w:rPr>
                <w:rFonts w:ascii="Times New Roman" w:hAnsi="Times New Roman"/>
                <w:b/>
                <w:lang w:eastAsia="hu-HU"/>
              </w:rPr>
              <w:t>7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b/>
                <w:lang w:eastAsia="hu-H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1B3F24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8</w:t>
            </w:r>
            <w:r w:rsidR="00F94526">
              <w:rPr>
                <w:rFonts w:ascii="Times New Roman" w:hAnsi="Times New Roman"/>
                <w:b/>
                <w:lang w:eastAsia="hu-HU"/>
              </w:rPr>
              <w:t>8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b/>
                <w:lang w:eastAsia="hu-HU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D32C1A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10</w:t>
            </w:r>
            <w:r w:rsidR="009047E2">
              <w:rPr>
                <w:rFonts w:ascii="Times New Roman" w:hAnsi="Times New Roman"/>
                <w:b/>
                <w:lang w:eastAsia="hu-HU"/>
              </w:rPr>
              <w:t>5</w:t>
            </w:r>
            <w:r w:rsidRPr="00D32C1A">
              <w:rPr>
                <w:rFonts w:ascii="Times New Roman" w:hAnsi="Times New Roman"/>
                <w:b/>
                <w:lang w:eastAsia="hu-HU"/>
              </w:rPr>
              <w:t>,</w:t>
            </w:r>
            <w:r w:rsidR="00F94526">
              <w:rPr>
                <w:rFonts w:ascii="Times New Roman" w:hAnsi="Times New Roman"/>
                <w:b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8B" w:rsidRPr="00D32C1A" w:rsidRDefault="009047E2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11</w:t>
            </w:r>
            <w:r w:rsidR="00F94526">
              <w:rPr>
                <w:rFonts w:ascii="Times New Roman" w:hAnsi="Times New Roman"/>
                <w:b/>
                <w:lang w:eastAsia="hu-HU"/>
              </w:rPr>
              <w:t>4</w:t>
            </w:r>
            <w:r w:rsidR="00B1678B">
              <w:rPr>
                <w:rFonts w:ascii="Times New Roman" w:hAnsi="Times New Roman"/>
                <w:b/>
                <w:lang w:eastAsia="hu-HU"/>
              </w:rPr>
              <w:t>,</w:t>
            </w:r>
            <w:r w:rsidR="00F94526">
              <w:rPr>
                <w:rFonts w:ascii="Times New Roman" w:hAnsi="Times New Roman"/>
                <w:b/>
                <w:lang w:eastAsia="hu-HU"/>
              </w:rPr>
              <w:t>3</w:t>
            </w:r>
          </w:p>
        </w:tc>
      </w:tr>
      <w:tr w:rsidR="00B1678B" w:rsidRPr="00F4434F" w:rsidTr="00E16F2D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8256EF">
              <w:rPr>
                <w:rFonts w:ascii="Times New Roman" w:hAnsi="Times New Roman"/>
                <w:b/>
                <w:bCs/>
                <w:lang w:eastAsia="hu-HU"/>
              </w:rPr>
              <w:t>Költségek összesen: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6F2012" w:rsidRDefault="00F94526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 w:rsidRPr="006F2012">
              <w:rPr>
                <w:rFonts w:ascii="Times New Roman" w:hAnsi="Times New Roman"/>
                <w:b/>
                <w:lang w:eastAsia="hu-HU"/>
              </w:rPr>
              <w:t>1</w:t>
            </w:r>
            <w:r>
              <w:rPr>
                <w:rFonts w:ascii="Times New Roman" w:hAnsi="Times New Roman"/>
                <w:b/>
                <w:lang w:eastAsia="hu-HU"/>
              </w:rPr>
              <w:t> 516 941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6F2012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1 5</w:t>
            </w:r>
            <w:r w:rsidR="00F94526">
              <w:rPr>
                <w:rFonts w:ascii="Times New Roman" w:hAnsi="Times New Roman"/>
                <w:b/>
                <w:lang w:eastAsia="hu-HU"/>
              </w:rPr>
              <w:t>09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b/>
                <w:lang w:eastAsia="hu-HU"/>
              </w:rPr>
              <w:t>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6F2012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 w:rsidRPr="006F2012">
              <w:rPr>
                <w:rFonts w:ascii="Times New Roman" w:hAnsi="Times New Roman"/>
                <w:b/>
                <w:lang w:eastAsia="hu-HU"/>
              </w:rPr>
              <w:t>1</w:t>
            </w:r>
            <w:r>
              <w:rPr>
                <w:rFonts w:ascii="Times New Roman" w:hAnsi="Times New Roman"/>
                <w:b/>
                <w:lang w:eastAsia="hu-HU"/>
              </w:rPr>
              <w:t> 5</w:t>
            </w:r>
            <w:r w:rsidR="00F94526">
              <w:rPr>
                <w:rFonts w:ascii="Times New Roman" w:hAnsi="Times New Roman"/>
                <w:b/>
                <w:lang w:eastAsia="hu-HU"/>
              </w:rPr>
              <w:t>07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b/>
                <w:lang w:eastAsia="hu-HU"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EC4CAB" w:rsidRDefault="00B1678B" w:rsidP="00B1678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         9</w:t>
            </w:r>
            <w:r w:rsidR="009047E2">
              <w:rPr>
                <w:rFonts w:ascii="Times New Roman" w:hAnsi="Times New Roman"/>
                <w:b/>
                <w:lang w:eastAsia="hu-HU"/>
              </w:rPr>
              <w:t>9</w:t>
            </w:r>
            <w:r w:rsidRPr="00EC4CAB">
              <w:rPr>
                <w:rFonts w:ascii="Times New Roman" w:hAnsi="Times New Roman"/>
                <w:b/>
                <w:lang w:eastAsia="hu-HU"/>
              </w:rPr>
              <w:t>,</w:t>
            </w:r>
            <w:r w:rsidR="00F94526">
              <w:rPr>
                <w:rFonts w:ascii="Times New Roman" w:hAnsi="Times New Roman"/>
                <w:b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B1678B" w:rsidRPr="00EC4CAB" w:rsidRDefault="00B1678B" w:rsidP="00B1678B">
            <w:pPr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         9</w:t>
            </w:r>
            <w:r w:rsidR="00F94526">
              <w:rPr>
                <w:rFonts w:ascii="Times New Roman" w:hAnsi="Times New Roman"/>
                <w:b/>
                <w:lang w:eastAsia="hu-HU"/>
              </w:rPr>
              <w:t>9</w:t>
            </w:r>
            <w:r>
              <w:rPr>
                <w:rFonts w:ascii="Times New Roman" w:hAnsi="Times New Roman"/>
                <w:b/>
                <w:lang w:eastAsia="hu-HU"/>
              </w:rPr>
              <w:t>,</w:t>
            </w:r>
            <w:r w:rsidR="00F94526">
              <w:rPr>
                <w:rFonts w:ascii="Times New Roman" w:hAnsi="Times New Roman"/>
                <w:b/>
                <w:lang w:eastAsia="hu-HU"/>
              </w:rPr>
              <w:t>8</w:t>
            </w:r>
          </w:p>
        </w:tc>
      </w:tr>
      <w:tr w:rsidR="00B1678B" w:rsidRPr="00F4434F" w:rsidTr="00EE7981">
        <w:trPr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8256EF">
              <w:rPr>
                <w:rFonts w:ascii="Times New Roman" w:hAnsi="Times New Roman"/>
                <w:lang w:eastAsia="hu-HU"/>
              </w:rPr>
              <w:t xml:space="preserve">4. </w:t>
            </w:r>
            <w:r>
              <w:rPr>
                <w:rFonts w:ascii="Times New Roman" w:hAnsi="Times New Roman"/>
                <w:lang w:eastAsia="hu-HU"/>
              </w:rPr>
              <w:t>A</w:t>
            </w:r>
            <w:r w:rsidRPr="008256EF">
              <w:rPr>
                <w:rFonts w:ascii="Times New Roman" w:hAnsi="Times New Roman"/>
                <w:lang w:eastAsia="hu-HU"/>
              </w:rPr>
              <w:t>ktivált saját telj</w:t>
            </w:r>
            <w:r>
              <w:rPr>
                <w:rFonts w:ascii="Times New Roman" w:hAnsi="Times New Roman"/>
                <w:lang w:eastAsia="hu-HU"/>
              </w:rPr>
              <w:t>esítése</w:t>
            </w:r>
            <w:r w:rsidRPr="008256EF">
              <w:rPr>
                <w:rFonts w:ascii="Times New Roman" w:hAnsi="Times New Roman"/>
                <w:lang w:eastAsia="hu-HU"/>
              </w:rPr>
              <w:t>k: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AF7984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 w:rsidRPr="00AF7984">
              <w:rPr>
                <w:rFonts w:ascii="Times New Roman" w:hAnsi="Times New Roman"/>
                <w:lang w:eastAsia="hu-HU"/>
              </w:rPr>
              <w:t>-</w:t>
            </w:r>
            <w:r w:rsidR="00F94526">
              <w:rPr>
                <w:rFonts w:ascii="Times New Roman" w:hAnsi="Times New Roman"/>
                <w:lang w:eastAsia="hu-HU"/>
              </w:rPr>
              <w:t>24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lang w:eastAsia="hu-HU"/>
              </w:rPr>
              <w:t>343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AF7984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</w:t>
            </w:r>
            <w:r w:rsidR="00F94526">
              <w:rPr>
                <w:rFonts w:ascii="Times New Roman" w:hAnsi="Times New Roman"/>
                <w:lang w:eastAsia="hu-HU"/>
              </w:rPr>
              <w:t>30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AF7984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 w:rsidRPr="00AF7984">
              <w:rPr>
                <w:rFonts w:ascii="Times New Roman" w:hAnsi="Times New Roman"/>
                <w:lang w:eastAsia="hu-HU"/>
              </w:rPr>
              <w:t>-</w:t>
            </w:r>
            <w:r w:rsidR="00F14C23">
              <w:rPr>
                <w:rFonts w:ascii="Times New Roman" w:hAnsi="Times New Roman"/>
                <w:lang w:eastAsia="hu-HU"/>
              </w:rPr>
              <w:t>2</w:t>
            </w:r>
            <w:r w:rsidR="00F94526">
              <w:rPr>
                <w:rFonts w:ascii="Times New Roman" w:hAnsi="Times New Roman"/>
                <w:lang w:eastAsia="hu-HU"/>
              </w:rPr>
              <w:t>8</w:t>
            </w:r>
            <w:r w:rsidR="00F14C23">
              <w:rPr>
                <w:rFonts w:ascii="Times New Roman" w:hAnsi="Times New Roman"/>
                <w:lang w:eastAsia="hu-HU"/>
              </w:rPr>
              <w:t xml:space="preserve"> </w:t>
            </w:r>
            <w:r w:rsidR="00F94526">
              <w:rPr>
                <w:rFonts w:ascii="Times New Roman" w:hAnsi="Times New Roman"/>
                <w:lang w:eastAsia="hu-H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       </w:t>
            </w:r>
            <w:r w:rsidR="00F36CEA">
              <w:rPr>
                <w:rFonts w:ascii="Times New Roman" w:hAnsi="Times New Roman"/>
                <w:lang w:eastAsia="hu-HU"/>
              </w:rPr>
              <w:t>1</w:t>
            </w:r>
            <w:r w:rsidR="00FE6BED">
              <w:rPr>
                <w:rFonts w:ascii="Times New Roman" w:hAnsi="Times New Roman"/>
                <w:lang w:eastAsia="hu-HU"/>
              </w:rPr>
              <w:t>15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FE6BED">
              <w:rPr>
                <w:rFonts w:ascii="Times New Roman" w:hAnsi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1678B" w:rsidRPr="004A7CD7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       </w:t>
            </w:r>
            <w:r w:rsidR="00FE6BED">
              <w:rPr>
                <w:rFonts w:ascii="Times New Roman" w:hAnsi="Times New Roman"/>
                <w:lang w:eastAsia="hu-HU"/>
              </w:rPr>
              <w:t xml:space="preserve">  93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FE6BED">
              <w:rPr>
                <w:rFonts w:ascii="Times New Roman" w:hAnsi="Times New Roman"/>
                <w:lang w:eastAsia="hu-HU"/>
              </w:rPr>
              <w:t>0</w:t>
            </w:r>
          </w:p>
        </w:tc>
      </w:tr>
      <w:tr w:rsidR="00B1678B" w:rsidRPr="00F4434F" w:rsidTr="00EE7981">
        <w:trPr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5. Közvetí</w:t>
            </w:r>
            <w:r w:rsidRPr="008256EF">
              <w:rPr>
                <w:rFonts w:ascii="Times New Roman" w:hAnsi="Times New Roman"/>
                <w:lang w:eastAsia="hu-HU"/>
              </w:rPr>
              <w:t>tett szolg</w:t>
            </w:r>
            <w:r>
              <w:rPr>
                <w:rFonts w:ascii="Times New Roman" w:hAnsi="Times New Roman"/>
                <w:lang w:eastAsia="hu-HU"/>
              </w:rPr>
              <w:t xml:space="preserve">áltatás </w:t>
            </w:r>
            <w:r w:rsidRPr="008256EF">
              <w:rPr>
                <w:rFonts w:ascii="Times New Roman" w:hAnsi="Times New Roman"/>
                <w:lang w:eastAsia="hu-HU"/>
              </w:rPr>
              <w:t>ELÁBÉ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AF7984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</w:t>
            </w:r>
            <w:r w:rsidR="00FE6BED">
              <w:rPr>
                <w:rFonts w:ascii="Times New Roman" w:hAnsi="Times New Roman"/>
                <w:lang w:eastAsia="hu-HU"/>
              </w:rPr>
              <w:t>9</w:t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lang w:eastAsia="hu-HU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Default="00FE6BED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24</w:t>
            </w:r>
            <w:r w:rsidR="00B1678B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655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AF7984" w:rsidRDefault="00FE6BED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28 041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       </w:t>
            </w:r>
            <w:r w:rsidR="00F36CEA">
              <w:rPr>
                <w:rFonts w:ascii="Times New Roman" w:hAnsi="Times New Roman"/>
                <w:lang w:eastAsia="hu-HU"/>
              </w:rPr>
              <w:t>1</w:t>
            </w:r>
            <w:r w:rsidR="00FE6BED">
              <w:rPr>
                <w:rFonts w:ascii="Times New Roman" w:hAnsi="Times New Roman"/>
                <w:lang w:eastAsia="hu-HU"/>
              </w:rPr>
              <w:t>45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FE6BED">
              <w:rPr>
                <w:rFonts w:ascii="Times New Roman" w:hAnsi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1678B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       1</w:t>
            </w:r>
            <w:r w:rsidR="00FE6BED">
              <w:rPr>
                <w:rFonts w:ascii="Times New Roman" w:hAnsi="Times New Roman"/>
                <w:lang w:eastAsia="hu-HU"/>
              </w:rPr>
              <w:t>13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FE6BED">
              <w:rPr>
                <w:rFonts w:ascii="Times New Roman" w:hAnsi="Times New Roman"/>
                <w:lang w:eastAsia="hu-HU"/>
              </w:rPr>
              <w:t>7</w:t>
            </w:r>
          </w:p>
        </w:tc>
      </w:tr>
      <w:tr w:rsidR="00B1678B" w:rsidRPr="00F4434F" w:rsidTr="00EE7981">
        <w:trPr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>
              <w:rPr>
                <w:rFonts w:ascii="Times New Roman" w:hAnsi="Times New Roman"/>
                <w:b/>
                <w:bCs/>
                <w:lang w:eastAsia="hu-HU"/>
              </w:rPr>
              <w:t>Szolgáltatást, é</w:t>
            </w:r>
            <w:r w:rsidRPr="008256EF">
              <w:rPr>
                <w:rFonts w:ascii="Times New Roman" w:hAnsi="Times New Roman"/>
                <w:b/>
                <w:bCs/>
                <w:lang w:eastAsia="hu-HU"/>
              </w:rPr>
              <w:t>rtékesítést terhelő költség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6F2012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 w:rsidRPr="006F2012">
              <w:rPr>
                <w:rFonts w:ascii="Times New Roman" w:hAnsi="Times New Roman"/>
                <w:b/>
                <w:lang w:eastAsia="hu-HU"/>
              </w:rPr>
              <w:t>1</w:t>
            </w:r>
            <w:r>
              <w:rPr>
                <w:rFonts w:ascii="Times New Roman" w:hAnsi="Times New Roman"/>
                <w:b/>
                <w:lang w:eastAsia="hu-HU"/>
              </w:rPr>
              <w:t> 5</w:t>
            </w:r>
            <w:r w:rsidR="00FE6BED">
              <w:rPr>
                <w:rFonts w:ascii="Times New Roman" w:hAnsi="Times New Roman"/>
                <w:b/>
                <w:lang w:eastAsia="hu-HU"/>
              </w:rPr>
              <w:t>11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b/>
                <w:lang w:eastAsia="hu-HU"/>
              </w:rPr>
              <w:t>908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6F2012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1 5</w:t>
            </w:r>
            <w:r w:rsidR="00FE6BED">
              <w:rPr>
                <w:rFonts w:ascii="Times New Roman" w:hAnsi="Times New Roman"/>
                <w:b/>
                <w:lang w:eastAsia="hu-HU"/>
              </w:rPr>
              <w:t>04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b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6F2012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 w:rsidRPr="006F2012">
              <w:rPr>
                <w:rFonts w:ascii="Times New Roman" w:hAnsi="Times New Roman"/>
                <w:b/>
                <w:lang w:eastAsia="hu-HU"/>
              </w:rPr>
              <w:t>1</w:t>
            </w:r>
            <w:r>
              <w:rPr>
                <w:rFonts w:ascii="Times New Roman" w:hAnsi="Times New Roman"/>
                <w:b/>
                <w:lang w:eastAsia="hu-HU"/>
              </w:rPr>
              <w:t> 5</w:t>
            </w:r>
            <w:r w:rsidR="00FE6BED">
              <w:rPr>
                <w:rFonts w:ascii="Times New Roman" w:hAnsi="Times New Roman"/>
                <w:b/>
                <w:lang w:eastAsia="hu-HU"/>
              </w:rPr>
              <w:t>07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b/>
                <w:lang w:eastAsia="hu-H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4E1EF2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9</w:t>
            </w:r>
            <w:r w:rsidR="00FE6BED">
              <w:rPr>
                <w:rFonts w:ascii="Times New Roman" w:hAnsi="Times New Roman"/>
                <w:b/>
                <w:lang w:eastAsia="hu-HU"/>
              </w:rPr>
              <w:t>9</w:t>
            </w:r>
            <w:r>
              <w:rPr>
                <w:rFonts w:ascii="Times New Roman" w:hAnsi="Times New Roman"/>
                <w:b/>
                <w:lang w:eastAsia="hu-HU"/>
              </w:rPr>
              <w:t>,</w:t>
            </w:r>
            <w:r w:rsidR="00FE6BED">
              <w:rPr>
                <w:rFonts w:ascii="Times New Roman" w:hAnsi="Times New Roman"/>
                <w:b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b/>
                <w:lang w:eastAsia="hu-HU"/>
              </w:rPr>
              <w:t>100</w:t>
            </w:r>
            <w:r>
              <w:rPr>
                <w:rFonts w:ascii="Times New Roman" w:hAnsi="Times New Roman"/>
                <w:b/>
                <w:lang w:eastAsia="hu-HU"/>
              </w:rPr>
              <w:t>,</w:t>
            </w:r>
            <w:r w:rsidR="00FE6BED">
              <w:rPr>
                <w:rFonts w:ascii="Times New Roman" w:hAnsi="Times New Roman"/>
                <w:b/>
                <w:lang w:eastAsia="hu-HU"/>
              </w:rPr>
              <w:t>2</w:t>
            </w:r>
          </w:p>
        </w:tc>
      </w:tr>
      <w:tr w:rsidR="00B1678B" w:rsidRPr="00F4434F" w:rsidTr="00EE7981">
        <w:trPr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</w:t>
            </w:r>
            <w:r w:rsidRPr="008256EF">
              <w:rPr>
                <w:rFonts w:ascii="Times New Roman" w:hAnsi="Times New Roman"/>
                <w:lang w:eastAsia="hu-HU"/>
              </w:rPr>
              <w:t>. Egyéb ráfordítások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950FAA" w:rsidRDefault="00FE6BED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76 504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AB4BB8" w:rsidRDefault="00FE6BED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78 042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950FAA" w:rsidRDefault="00FE6BED" w:rsidP="00B1678B">
            <w:pPr>
              <w:spacing w:after="0" w:line="240" w:lineRule="auto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218</w:t>
            </w:r>
            <w:r w:rsidR="00B1678B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950FAA" w:rsidRDefault="00FE6BED" w:rsidP="00B1678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286</w:t>
            </w:r>
            <w:r w:rsidR="00B1678B">
              <w:rPr>
                <w:rFonts w:ascii="Times New Roman" w:hAnsi="Times New Roman"/>
                <w:lang w:eastAsia="hu-HU"/>
              </w:rPr>
              <w:t>,</w:t>
            </w:r>
            <w:r>
              <w:rPr>
                <w:rFonts w:ascii="Times New Roman" w:hAnsi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78B" w:rsidRPr="00E43F24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="00300EBF">
              <w:rPr>
                <w:rFonts w:ascii="Times New Roman" w:hAnsi="Times New Roman"/>
                <w:lang w:eastAsia="hu-HU"/>
              </w:rPr>
              <w:t>280</w:t>
            </w:r>
            <w:r>
              <w:rPr>
                <w:rFonts w:ascii="Times New Roman" w:hAnsi="Times New Roman"/>
                <w:lang w:eastAsia="hu-HU"/>
              </w:rPr>
              <w:t>,</w:t>
            </w:r>
            <w:r w:rsidR="00300EBF">
              <w:rPr>
                <w:rFonts w:ascii="Times New Roman" w:hAnsi="Times New Roman"/>
                <w:lang w:eastAsia="hu-HU"/>
              </w:rPr>
              <w:t>5</w:t>
            </w:r>
          </w:p>
        </w:tc>
      </w:tr>
      <w:tr w:rsidR="00B1678B" w:rsidRPr="00F4434F" w:rsidTr="00EE7981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8256EF" w:rsidRDefault="00B1678B" w:rsidP="00B1678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>
              <w:rPr>
                <w:rFonts w:ascii="Times New Roman" w:hAnsi="Times New Roman"/>
                <w:b/>
                <w:bCs/>
                <w:lang w:eastAsia="hu-HU"/>
              </w:rPr>
              <w:t>Összes költség és egyéb ráfordítás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950FAA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</w:t>
            </w:r>
            <w:r w:rsidR="00FE6BED">
              <w:rPr>
                <w:rFonts w:ascii="Times New Roman" w:hAnsi="Times New Roman"/>
                <w:b/>
                <w:lang w:eastAsia="hu-HU"/>
              </w:rPr>
              <w:t> 588 412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4E1EF2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1 </w:t>
            </w:r>
            <w:r w:rsidR="00FE6BED">
              <w:rPr>
                <w:rFonts w:ascii="Times New Roman" w:hAnsi="Times New Roman"/>
                <w:b/>
                <w:lang w:eastAsia="hu-HU"/>
              </w:rPr>
              <w:t>582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b/>
                <w:lang w:eastAsia="hu-HU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950FAA" w:rsidRDefault="00B1678B" w:rsidP="00B1678B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1 </w:t>
            </w:r>
            <w:r w:rsidR="00FE6BED">
              <w:rPr>
                <w:rFonts w:ascii="Times New Roman" w:hAnsi="Times New Roman"/>
                <w:b/>
                <w:lang w:eastAsia="hu-HU"/>
              </w:rPr>
              <w:t>726</w:t>
            </w: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FE6BED">
              <w:rPr>
                <w:rFonts w:ascii="Times New Roman" w:hAnsi="Times New Roman"/>
                <w:b/>
                <w:lang w:eastAsia="hu-HU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78B" w:rsidRPr="004E1EF2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300EBF">
              <w:rPr>
                <w:rFonts w:ascii="Times New Roman" w:hAnsi="Times New Roman"/>
                <w:b/>
                <w:lang w:eastAsia="hu-HU"/>
              </w:rPr>
              <w:t>108</w:t>
            </w:r>
            <w:r>
              <w:rPr>
                <w:rFonts w:ascii="Times New Roman" w:hAnsi="Times New Roman"/>
                <w:b/>
                <w:lang w:eastAsia="hu-HU"/>
              </w:rPr>
              <w:t>,</w:t>
            </w:r>
            <w:r w:rsidR="00300EBF">
              <w:rPr>
                <w:rFonts w:ascii="Times New Roman" w:hAnsi="Times New Roman"/>
                <w:b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8B" w:rsidRDefault="00B1678B" w:rsidP="00B167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 xml:space="preserve"> </w:t>
            </w:r>
            <w:r w:rsidR="00300EBF">
              <w:rPr>
                <w:rFonts w:ascii="Times New Roman" w:hAnsi="Times New Roman"/>
                <w:b/>
                <w:lang w:eastAsia="hu-HU"/>
              </w:rPr>
              <w:t>109</w:t>
            </w:r>
            <w:r>
              <w:rPr>
                <w:rFonts w:ascii="Times New Roman" w:hAnsi="Times New Roman"/>
                <w:b/>
                <w:lang w:eastAsia="hu-HU"/>
              </w:rPr>
              <w:t>,</w:t>
            </w:r>
            <w:r w:rsidR="00300EBF">
              <w:rPr>
                <w:rFonts w:ascii="Times New Roman" w:hAnsi="Times New Roman"/>
                <w:b/>
                <w:lang w:eastAsia="hu-HU"/>
              </w:rPr>
              <w:t>1</w:t>
            </w:r>
          </w:p>
        </w:tc>
      </w:tr>
    </w:tbl>
    <w:p w:rsidR="002B16D1" w:rsidRDefault="002B16D1" w:rsidP="002B16D1">
      <w:pPr>
        <w:rPr>
          <w:rFonts w:ascii="Times New Roman" w:hAnsi="Times New Roman"/>
          <w:sz w:val="24"/>
          <w:szCs w:val="24"/>
        </w:rPr>
      </w:pPr>
    </w:p>
    <w:p w:rsidR="003928C9" w:rsidRDefault="00B504FC" w:rsidP="00392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Társaságunk költségeit 201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>. évben a gazdasági környezet hatásainak ellenére is sikerült szinten tartani, és az előző é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 xml:space="preserve">vhez viszonyítva összességében 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alacsony, 8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7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százalékos 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növekedés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>t elérni. A</w:t>
      </w:r>
      <w:r w:rsidR="00EE7981">
        <w:rPr>
          <w:rFonts w:ascii="Times New Roman" w:hAnsi="Times New Roman"/>
          <w:bCs/>
          <w:sz w:val="24"/>
          <w:szCs w:val="24"/>
          <w:lang w:eastAsia="hu-HU"/>
        </w:rPr>
        <w:t xml:space="preserve"> szolgáltatást,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értékesítést terhelő költségek esetében </w:t>
      </w:r>
      <w:r w:rsidR="00F21668">
        <w:rPr>
          <w:rFonts w:ascii="Times New Roman" w:hAnsi="Times New Roman"/>
          <w:bCs/>
          <w:sz w:val="24"/>
          <w:szCs w:val="24"/>
          <w:lang w:eastAsia="hu-HU"/>
        </w:rPr>
        <w:t>0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F21668">
        <w:rPr>
          <w:rFonts w:ascii="Times New Roman" w:hAnsi="Times New Roman"/>
          <w:bCs/>
          <w:sz w:val="24"/>
          <w:szCs w:val="24"/>
          <w:lang w:eastAsia="hu-HU"/>
        </w:rPr>
        <w:t>3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százalékos a 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>csökkenés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. Az anyagjellegű ráfordítások összességében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4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százalékkal </w:t>
      </w:r>
      <w:r w:rsidR="002E111A">
        <w:rPr>
          <w:rFonts w:ascii="Times New Roman" w:hAnsi="Times New Roman"/>
          <w:bCs/>
          <w:sz w:val="24"/>
          <w:szCs w:val="24"/>
          <w:lang w:eastAsia="hu-HU"/>
        </w:rPr>
        <w:t>csökken</w:t>
      </w:r>
      <w:r w:rsidR="00EE7981">
        <w:rPr>
          <w:rFonts w:ascii="Times New Roman" w:hAnsi="Times New Roman"/>
          <w:bCs/>
          <w:sz w:val="24"/>
          <w:szCs w:val="24"/>
          <w:lang w:eastAsia="hu-HU"/>
        </w:rPr>
        <w:t>tek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 xml:space="preserve">, azon belül az anyagköltségek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2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1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százalékkal, a szolgáltatások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11</w:t>
      </w:r>
      <w:r w:rsidR="002E111A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százalékkal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csökkentek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az előző évhez viszonyítva. 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 xml:space="preserve">Az anyagköltségek 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>csökkenését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 xml:space="preserve"> jelentős mértékben a távhőszolgáltatási tevékenység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 xml:space="preserve"> vonatkozásában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>karbantartás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, üzemeltetés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 xml:space="preserve"> anyag</w:t>
      </w:r>
      <w:r w:rsidR="009E52D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s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>zükséglet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ének</w:t>
      </w:r>
      <w:r w:rsidR="00A80158">
        <w:rPr>
          <w:rFonts w:ascii="Times New Roman" w:hAnsi="Times New Roman"/>
          <w:bCs/>
          <w:sz w:val="24"/>
          <w:szCs w:val="24"/>
          <w:lang w:eastAsia="hu-HU"/>
        </w:rPr>
        <w:t xml:space="preserve"> jelentős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59</w:t>
      </w:r>
      <w:r w:rsidR="00A80158">
        <w:rPr>
          <w:rFonts w:ascii="Times New Roman" w:hAnsi="Times New Roman"/>
          <w:bCs/>
          <w:sz w:val="24"/>
          <w:szCs w:val="24"/>
          <w:lang w:eastAsia="hu-HU"/>
        </w:rPr>
        <w:t xml:space="preserve"> százalékos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csökkenése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 xml:space="preserve"> okoz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ta</w:t>
      </w:r>
      <w:r w:rsidR="00A80158">
        <w:rPr>
          <w:rFonts w:ascii="Times New Roman" w:hAnsi="Times New Roman"/>
          <w:bCs/>
          <w:sz w:val="24"/>
          <w:szCs w:val="24"/>
          <w:lang w:eastAsia="hu-HU"/>
        </w:rPr>
        <w:t xml:space="preserve"> az anyag</w:t>
      </w:r>
      <w:r w:rsidR="009E52D8">
        <w:rPr>
          <w:rFonts w:ascii="Times New Roman" w:hAnsi="Times New Roman"/>
          <w:bCs/>
          <w:sz w:val="24"/>
          <w:szCs w:val="24"/>
          <w:lang w:eastAsia="hu-HU"/>
        </w:rPr>
        <w:t>jellegű ráfordítások</w:t>
      </w:r>
      <w:r w:rsidR="00A80158">
        <w:rPr>
          <w:rFonts w:ascii="Times New Roman" w:hAnsi="Times New Roman"/>
          <w:bCs/>
          <w:sz w:val="24"/>
          <w:szCs w:val="24"/>
          <w:lang w:eastAsia="hu-HU"/>
        </w:rPr>
        <w:t xml:space="preserve"> között</w:t>
      </w:r>
      <w:r w:rsidR="008869D3">
        <w:rPr>
          <w:rFonts w:ascii="Times New Roman" w:hAnsi="Times New Roman"/>
          <w:bCs/>
          <w:sz w:val="24"/>
          <w:szCs w:val="24"/>
          <w:lang w:eastAsia="hu-HU"/>
        </w:rPr>
        <w:t xml:space="preserve">. 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A személyi 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 xml:space="preserve">jellegű ráfordítások 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>az előző évi szint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>hez képest</w:t>
      </w:r>
      <w:r w:rsidR="002617B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5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5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 xml:space="preserve"> százalékkal növekedtek, amelyet minimális létszám növekedés és személyi jellegű egyéb ráfordítások változása okozott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>. Az értékcsökkenési le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 xml:space="preserve">írás </w:t>
      </w:r>
      <w:r w:rsidR="002617B4">
        <w:rPr>
          <w:rFonts w:ascii="Times New Roman" w:hAnsi="Times New Roman"/>
          <w:bCs/>
          <w:sz w:val="24"/>
          <w:szCs w:val="24"/>
          <w:lang w:eastAsia="hu-HU"/>
        </w:rPr>
        <w:t>5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3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 xml:space="preserve"> százalékkal 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>növekedett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 xml:space="preserve"> az előző évhez viszonyítva</w:t>
      </w:r>
      <w:r w:rsidR="00A80158">
        <w:rPr>
          <w:rFonts w:ascii="Times New Roman" w:hAnsi="Times New Roman"/>
          <w:bCs/>
          <w:sz w:val="24"/>
          <w:szCs w:val="24"/>
          <w:lang w:eastAsia="hu-HU"/>
        </w:rPr>
        <w:t xml:space="preserve"> a növekvő beruházások hatására</w:t>
      </w:r>
      <w:r w:rsidR="00793CE8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5D4293">
        <w:rPr>
          <w:rFonts w:ascii="Times New Roman" w:hAnsi="Times New Roman"/>
          <w:bCs/>
          <w:sz w:val="24"/>
          <w:szCs w:val="24"/>
          <w:lang w:eastAsia="hu-HU"/>
        </w:rPr>
        <w:t xml:space="preserve"> Az egyéb ráfordítások </w:t>
      </w:r>
      <w:r w:rsidR="00A80158">
        <w:rPr>
          <w:rFonts w:ascii="Times New Roman" w:hAnsi="Times New Roman"/>
          <w:bCs/>
          <w:sz w:val="24"/>
          <w:szCs w:val="24"/>
          <w:lang w:eastAsia="hu-HU"/>
        </w:rPr>
        <w:t>1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86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1</w:t>
      </w:r>
      <w:r w:rsidR="0053199E">
        <w:rPr>
          <w:rFonts w:ascii="Times New Roman" w:hAnsi="Times New Roman"/>
          <w:bCs/>
          <w:sz w:val="24"/>
          <w:szCs w:val="24"/>
          <w:lang w:eastAsia="hu-HU"/>
        </w:rPr>
        <w:t xml:space="preserve"> százalékkal 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növekedtek</w:t>
      </w:r>
      <w:r w:rsidR="009E52D8">
        <w:rPr>
          <w:rFonts w:ascii="Times New Roman" w:hAnsi="Times New Roman"/>
          <w:bCs/>
          <w:sz w:val="24"/>
          <w:szCs w:val="24"/>
          <w:lang w:eastAsia="hu-HU"/>
        </w:rPr>
        <w:t>, amelyre szintén hatással volt a széndioxid kvóta térítésmentesen kiosztott mennyiségének csökkenése</w:t>
      </w:r>
      <w:r w:rsidR="007E431B">
        <w:rPr>
          <w:rFonts w:ascii="Times New Roman" w:hAnsi="Times New Roman"/>
          <w:bCs/>
          <w:sz w:val="24"/>
          <w:szCs w:val="24"/>
          <w:lang w:eastAsia="hu-HU"/>
        </w:rPr>
        <w:t>, a jelentős mértékű céltartalék képzés, és a követelés leírás</w:t>
      </w:r>
      <w:r w:rsidR="005D4293">
        <w:rPr>
          <w:rFonts w:ascii="Times New Roman" w:hAnsi="Times New Roman"/>
          <w:bCs/>
          <w:sz w:val="24"/>
          <w:szCs w:val="24"/>
          <w:lang w:eastAsia="hu-HU"/>
        </w:rPr>
        <w:t>. A Társaság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 xml:space="preserve"> tevékenysége</w:t>
      </w:r>
      <w:r w:rsidR="005D4293">
        <w:rPr>
          <w:rFonts w:ascii="Times New Roman" w:hAnsi="Times New Roman"/>
          <w:bCs/>
          <w:sz w:val="24"/>
          <w:szCs w:val="24"/>
          <w:lang w:eastAsia="hu-HU"/>
        </w:rPr>
        <w:t xml:space="preserve"> az Üzleti tervben meghatározott költségekhez és ráfordításokhoz viszonyítva 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9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1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 xml:space="preserve"> mér</w:t>
      </w:r>
      <w:r w:rsidR="005D4293">
        <w:rPr>
          <w:rFonts w:ascii="Times New Roman" w:hAnsi="Times New Roman"/>
          <w:bCs/>
          <w:sz w:val="24"/>
          <w:szCs w:val="24"/>
          <w:lang w:eastAsia="hu-HU"/>
        </w:rPr>
        <w:t>ték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 xml:space="preserve">ű </w:t>
      </w:r>
      <w:r w:rsidR="00300EBF">
        <w:rPr>
          <w:rFonts w:ascii="Times New Roman" w:hAnsi="Times New Roman"/>
          <w:bCs/>
          <w:sz w:val="24"/>
          <w:szCs w:val="24"/>
          <w:lang w:eastAsia="hu-HU"/>
        </w:rPr>
        <w:t>növekedést</w:t>
      </w:r>
      <w:r w:rsidR="00ED3657">
        <w:rPr>
          <w:rFonts w:ascii="Times New Roman" w:hAnsi="Times New Roman"/>
          <w:bCs/>
          <w:sz w:val="24"/>
          <w:szCs w:val="24"/>
          <w:lang w:eastAsia="hu-HU"/>
        </w:rPr>
        <w:t xml:space="preserve"> eredményezett összeségében.</w:t>
      </w:r>
      <w:r w:rsidR="005D4293">
        <w:rPr>
          <w:rFonts w:ascii="Times New Roman" w:hAnsi="Times New Roman"/>
          <w:bCs/>
          <w:sz w:val="24"/>
          <w:szCs w:val="24"/>
          <w:lang w:eastAsia="hu-HU"/>
        </w:rPr>
        <w:t xml:space="preserve">  </w:t>
      </w:r>
    </w:p>
    <w:p w:rsidR="002B16D1" w:rsidRPr="003928C9" w:rsidRDefault="002B16D1" w:rsidP="002B16D1">
      <w:pPr>
        <w:rPr>
          <w:rFonts w:ascii="Times New Roman" w:hAnsi="Times New Roman"/>
          <w:b/>
          <w:sz w:val="24"/>
          <w:szCs w:val="24"/>
        </w:rPr>
      </w:pPr>
      <w:r w:rsidRPr="003928C9">
        <w:rPr>
          <w:rFonts w:ascii="Times New Roman" w:hAnsi="Times New Roman"/>
          <w:b/>
          <w:sz w:val="24"/>
          <w:szCs w:val="24"/>
        </w:rPr>
        <w:t>2.3. Üzletmeneten kívüli tevékenység</w:t>
      </w:r>
    </w:p>
    <w:p w:rsidR="002B16D1" w:rsidRDefault="002B16D1" w:rsidP="002B16D1">
      <w:pPr>
        <w:rPr>
          <w:rFonts w:ascii="Times New Roman" w:hAnsi="Times New Roman"/>
          <w:sz w:val="24"/>
          <w:szCs w:val="24"/>
        </w:rPr>
      </w:pPr>
      <w:r w:rsidRPr="00B27372">
        <w:rPr>
          <w:rFonts w:ascii="Times New Roman" w:hAnsi="Times New Roman"/>
          <w:b/>
          <w:sz w:val="24"/>
          <w:szCs w:val="24"/>
        </w:rPr>
        <w:t>Egyéb bevétel, egyéb ráfordítás alakulása</w:t>
      </w:r>
    </w:p>
    <w:p w:rsidR="003928C9" w:rsidRDefault="00417594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Társaság 201</w:t>
      </w:r>
      <w:r w:rsidR="000A27DF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="003928C9">
        <w:rPr>
          <w:rFonts w:ascii="Times New Roman" w:hAnsi="Times New Roman"/>
          <w:bCs/>
          <w:sz w:val="24"/>
          <w:szCs w:val="24"/>
          <w:lang w:eastAsia="hu-HU"/>
        </w:rPr>
        <w:t xml:space="preserve">. évi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373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069</w:t>
      </w:r>
      <w:r w:rsidR="003928C9" w:rsidRPr="00B27372">
        <w:rPr>
          <w:rFonts w:ascii="Times New Roman" w:hAnsi="Times New Roman"/>
          <w:bCs/>
          <w:sz w:val="24"/>
          <w:szCs w:val="24"/>
          <w:lang w:eastAsia="hu-HU"/>
        </w:rPr>
        <w:t xml:space="preserve"> eFt egyéb bevétele</w:t>
      </w:r>
      <w:r w:rsidR="003928C9">
        <w:rPr>
          <w:rFonts w:ascii="Times New Roman" w:hAnsi="Times New Roman"/>
          <w:bCs/>
          <w:sz w:val="24"/>
          <w:szCs w:val="24"/>
          <w:lang w:eastAsia="hu-HU"/>
        </w:rPr>
        <w:t xml:space="preserve"> a következő tevékenységek eredménye. </w:t>
      </w:r>
    </w:p>
    <w:p w:rsidR="003928C9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követelés kezelés eredményeként fizetési meghagyások által az ügyfelek megtérített eljárási díjai, ügyvédi díjak, illetékek, késedelmi kamatok </w:t>
      </w:r>
      <w:r w:rsidR="00D654D9">
        <w:rPr>
          <w:rFonts w:ascii="Times New Roman" w:hAnsi="Times New Roman"/>
          <w:bCs/>
          <w:sz w:val="24"/>
          <w:szCs w:val="24"/>
          <w:lang w:eastAsia="hu-HU"/>
        </w:rPr>
        <w:t>2</w:t>
      </w:r>
      <w:r w:rsidR="00725F43">
        <w:rPr>
          <w:rFonts w:ascii="Times New Roman" w:hAnsi="Times New Roman"/>
          <w:bCs/>
          <w:sz w:val="24"/>
          <w:szCs w:val="24"/>
          <w:lang w:eastAsia="hu-HU"/>
        </w:rPr>
        <w:t>1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D654D9">
        <w:rPr>
          <w:rFonts w:ascii="Times New Roman" w:hAnsi="Times New Roman"/>
          <w:bCs/>
          <w:sz w:val="24"/>
          <w:szCs w:val="24"/>
          <w:lang w:eastAsia="hu-HU"/>
        </w:rPr>
        <w:t>559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 összegben növelték az egyéb bevételeket.</w:t>
      </w:r>
    </w:p>
    <w:p w:rsidR="0088485A" w:rsidRDefault="0088485A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88485A" w:rsidRDefault="0088485A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Tárgyi eszköz értékesés</w:t>
      </w:r>
      <w:r w:rsidR="00725F43">
        <w:rPr>
          <w:rFonts w:ascii="Times New Roman" w:hAnsi="Times New Roman"/>
          <w:bCs/>
          <w:sz w:val="24"/>
          <w:szCs w:val="24"/>
          <w:lang w:eastAsia="hu-HU"/>
        </w:rPr>
        <w:t xml:space="preserve"> eredményeként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2 358</w:t>
      </w:r>
      <w:r w:rsidR="00725F43">
        <w:rPr>
          <w:rFonts w:ascii="Times New Roman" w:hAnsi="Times New Roman"/>
          <w:bCs/>
          <w:sz w:val="24"/>
          <w:szCs w:val="24"/>
          <w:lang w:eastAsia="hu-HU"/>
        </w:rPr>
        <w:t xml:space="preserve"> eFt egyéb bevétele keletkezett a Társaságnak. 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közcélú munkavállalók foglalkoztatásából eredően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17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076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 támogatást kapott táraságunk a Munkaügyi Központtól.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Default="00752B63" w:rsidP="00752B63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Az egyéb bevételek közé került könyvelésre a KÁT rendszer megszűnése után bevezetésre került távhő termelési támogatás. Miután Társaságunk saját üzemeltetésében, </w:t>
      </w:r>
      <w:r w:rsidRPr="009A0FC2">
        <w:rPr>
          <w:rFonts w:ascii="Times New Roman" w:hAnsi="Times New Roman"/>
          <w:bCs/>
          <w:sz w:val="24"/>
          <w:szCs w:val="24"/>
          <w:lang w:eastAsia="hu-HU"/>
        </w:rPr>
        <w:t>hő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termelő berendezés</w:t>
      </w:r>
      <w:r w:rsidRPr="009A0FC2">
        <w:rPr>
          <w:rFonts w:ascii="Times New Roman" w:hAnsi="Times New Roman"/>
          <w:bCs/>
          <w:sz w:val="24"/>
          <w:szCs w:val="24"/>
          <w:lang w:eastAsia="hu-HU"/>
        </w:rPr>
        <w:t>ben állítja elő az ál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tala értékesített hőmennyiséget, az </w:t>
      </w:r>
      <w:r w:rsidRPr="009A0FC2">
        <w:rPr>
          <w:rFonts w:ascii="Times New Roman" w:hAnsi="Times New Roman"/>
          <w:bCs/>
          <w:sz w:val="24"/>
          <w:szCs w:val="24"/>
          <w:lang w:eastAsia="hu-HU"/>
        </w:rPr>
        <w:t>51/2011 (IX.30) NFM rendelet alapján a lakossági felhasználóknak nyújtott távhőszolgáltatás során termelt h</w:t>
      </w:r>
      <w:r>
        <w:rPr>
          <w:rFonts w:ascii="Times New Roman" w:hAnsi="Times New Roman"/>
          <w:bCs/>
          <w:sz w:val="24"/>
          <w:szCs w:val="24"/>
          <w:lang w:eastAsia="hu-HU"/>
        </w:rPr>
        <w:t>őmennyiség figyelembe vételével</w:t>
      </w:r>
      <w:r w:rsidRPr="009A0FC2">
        <w:rPr>
          <w:rFonts w:ascii="Times New Roman" w:hAnsi="Times New Roman"/>
          <w:bCs/>
          <w:sz w:val="24"/>
          <w:szCs w:val="24"/>
          <w:lang w:eastAsia="hu-HU"/>
        </w:rPr>
        <w:t xml:space="preserve"> igény</w:t>
      </w:r>
      <w:r>
        <w:rPr>
          <w:rFonts w:ascii="Times New Roman" w:hAnsi="Times New Roman"/>
          <w:bCs/>
          <w:sz w:val="24"/>
          <w:szCs w:val="24"/>
          <w:lang w:eastAsia="hu-HU"/>
        </w:rPr>
        <w:t>e</w:t>
      </w:r>
      <w:r w:rsidRPr="009A0FC2">
        <w:rPr>
          <w:rFonts w:ascii="Times New Roman" w:hAnsi="Times New Roman"/>
          <w:bCs/>
          <w:sz w:val="24"/>
          <w:szCs w:val="24"/>
          <w:lang w:eastAsia="hu-HU"/>
        </w:rPr>
        <w:t>lhet támogatás</w:t>
      </w:r>
      <w:r>
        <w:rPr>
          <w:rFonts w:ascii="Times New Roman" w:hAnsi="Times New Roman"/>
          <w:bCs/>
          <w:sz w:val="24"/>
          <w:szCs w:val="24"/>
          <w:lang w:eastAsia="hu-HU"/>
        </w:rPr>
        <w:t>t</w:t>
      </w:r>
      <w:r w:rsidRPr="009A0FC2">
        <w:rPr>
          <w:rFonts w:ascii="Times New Roman" w:hAnsi="Times New Roman"/>
          <w:bCs/>
          <w:sz w:val="24"/>
          <w:szCs w:val="24"/>
          <w:lang w:eastAsia="hu-HU"/>
        </w:rPr>
        <w:t>.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Támogatás mértéke 201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. évben Várpalota szolgáltatási terület vonatkozásában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159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085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eFt, illetve Inota szolgáltatási terület vonatkozásában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42</w:t>
      </w:r>
      <w:r>
        <w:rPr>
          <w:rFonts w:ascii="Times New Roman" w:hAnsi="Times New Roman"/>
          <w:bCs/>
          <w:sz w:val="24"/>
          <w:szCs w:val="24"/>
          <w:lang w:eastAsia="hu-HU"/>
        </w:rPr>
        <w:t> 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296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eFt. </w:t>
      </w:r>
    </w:p>
    <w:p w:rsidR="00752B63" w:rsidRDefault="00752B63" w:rsidP="00752B63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Társaságunk a jégpálya üzemeltetés vonatkozásában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1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szerződött parterével támogatási megállapodást kötött, amelynek értéke </w:t>
      </w:r>
      <w:r w:rsidR="0088485A">
        <w:rPr>
          <w:rFonts w:ascii="Times New Roman" w:hAnsi="Times New Roman"/>
          <w:bCs/>
          <w:sz w:val="24"/>
          <w:szCs w:val="24"/>
          <w:lang w:eastAsia="hu-HU"/>
        </w:rPr>
        <w:t>50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eFt.</w:t>
      </w:r>
    </w:p>
    <w:p w:rsidR="00752B63" w:rsidRDefault="00752B63" w:rsidP="00752B63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jégpálya üzemeltetésével kapcsolatban felmerült költségek fedezetére adott támogatás elszámolt összege 201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. évben 2 </w:t>
      </w:r>
      <w:r w:rsidR="0088485A">
        <w:rPr>
          <w:rFonts w:ascii="Times New Roman" w:hAnsi="Times New Roman"/>
          <w:bCs/>
          <w:sz w:val="24"/>
          <w:szCs w:val="24"/>
          <w:lang w:eastAsia="hu-HU"/>
        </w:rPr>
        <w:t>2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12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eFt.</w:t>
      </w:r>
    </w:p>
    <w:p w:rsidR="00752B63" w:rsidRDefault="00752B63" w:rsidP="00752B63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hulladéklerakó telepen elhelyezett állati hulladéktároló konténerek szállítását és ártalmatlanítását végző Társaság által 2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22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 támogatás elszámolására került sor megállapodás alapján.</w:t>
      </w:r>
    </w:p>
    <w:p w:rsidR="00752B63" w:rsidRDefault="00752B63" w:rsidP="0088485A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2011.</w:t>
      </w:r>
      <w:r w:rsidR="0069668E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és 201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7</w:t>
      </w:r>
      <w:r>
        <w:rPr>
          <w:rFonts w:ascii="Times New Roman" w:hAnsi="Times New Roman"/>
          <w:bCs/>
          <w:sz w:val="24"/>
          <w:szCs w:val="24"/>
          <w:lang w:eastAsia="hu-HU"/>
        </w:rPr>
        <w:t>. év</w:t>
      </w:r>
      <w:r w:rsidR="0069668E">
        <w:rPr>
          <w:rFonts w:ascii="Times New Roman" w:hAnsi="Times New Roman"/>
          <w:bCs/>
          <w:sz w:val="24"/>
          <w:szCs w:val="24"/>
          <w:lang w:eastAsia="hu-HU"/>
        </w:rPr>
        <w:t xml:space="preserve"> között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vevő követelésekre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 xml:space="preserve"> és egyéb követelésekre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értékvesztést számolt el a Társaság. Azon vevőkövetelésekből eredően, amelyek 201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. évben kiegyenlítésre kerültek, a képzett értékvesztés visszaírásra került. A visszaírt értékvesztés összege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67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295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eFt.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201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. évben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4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alkalommal </w:t>
      </w:r>
      <w:r w:rsidR="0088485A">
        <w:rPr>
          <w:rFonts w:ascii="Times New Roman" w:hAnsi="Times New Roman"/>
          <w:bCs/>
          <w:sz w:val="24"/>
          <w:szCs w:val="24"/>
          <w:lang w:eastAsia="hu-HU"/>
        </w:rPr>
        <w:t>tevékenység ellátás közben okozott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káresemény</w:t>
      </w:r>
      <w:r w:rsidR="0088485A">
        <w:rPr>
          <w:rFonts w:ascii="Times New Roman" w:hAnsi="Times New Roman"/>
          <w:bCs/>
          <w:sz w:val="24"/>
          <w:szCs w:val="24"/>
          <w:lang w:eastAsia="hu-HU"/>
        </w:rPr>
        <w:t xml:space="preserve"> miatt 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biztosítási szerződésünkből eredően a kárbejelentések szabályszerű érvényesítéséből eredően 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318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 kártérítés összeg került kifizetésére a Biztosító Társaság részéről. </w:t>
      </w:r>
    </w:p>
    <w:p w:rsidR="00D96B93" w:rsidRDefault="00D96B9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D96B93" w:rsidRDefault="00D96B9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201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8</w:t>
      </w:r>
      <w:r>
        <w:rPr>
          <w:rFonts w:ascii="Times New Roman" w:hAnsi="Times New Roman"/>
          <w:bCs/>
          <w:sz w:val="24"/>
          <w:szCs w:val="24"/>
          <w:lang w:eastAsia="hu-HU"/>
        </w:rPr>
        <w:t>. évben az egyéb bevételek között került kimutat</w:t>
      </w:r>
      <w:r w:rsidR="0088485A">
        <w:rPr>
          <w:rFonts w:ascii="Times New Roman" w:hAnsi="Times New Roman"/>
          <w:bCs/>
          <w:sz w:val="24"/>
          <w:szCs w:val="24"/>
          <w:lang w:eastAsia="hu-HU"/>
        </w:rPr>
        <w:t>ásra 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széndioxid kvóta kibocsátás értéke, amelynek összege </w:t>
      </w:r>
      <w:r w:rsidR="0088485A">
        <w:rPr>
          <w:rFonts w:ascii="Times New Roman" w:hAnsi="Times New Roman"/>
          <w:bCs/>
          <w:sz w:val="24"/>
          <w:szCs w:val="24"/>
          <w:lang w:eastAsia="hu-HU"/>
        </w:rPr>
        <w:t>1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3</w:t>
      </w:r>
      <w:r>
        <w:rPr>
          <w:rFonts w:ascii="Times New Roman" w:hAnsi="Times New Roman"/>
          <w:bCs/>
          <w:sz w:val="24"/>
          <w:szCs w:val="24"/>
          <w:lang w:eastAsia="hu-HU"/>
        </w:rPr>
        <w:t> </w:t>
      </w:r>
      <w:r w:rsidR="00944757">
        <w:rPr>
          <w:rFonts w:ascii="Times New Roman" w:hAnsi="Times New Roman"/>
          <w:bCs/>
          <w:sz w:val="24"/>
          <w:szCs w:val="24"/>
          <w:lang w:eastAsia="hu-HU"/>
        </w:rPr>
        <w:t>087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eFt.</w:t>
      </w:r>
    </w:p>
    <w:p w:rsidR="00944757" w:rsidRDefault="00944757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44757" w:rsidRDefault="00944757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2018. évben az egyéb bevételek között került kimutatásra a 2017. évben képzett</w:t>
      </w:r>
      <w:r w:rsidR="00D654D9">
        <w:rPr>
          <w:rFonts w:ascii="Times New Roman" w:hAnsi="Times New Roman"/>
          <w:bCs/>
          <w:sz w:val="24"/>
          <w:szCs w:val="24"/>
          <w:lang w:eastAsia="hu-HU"/>
        </w:rPr>
        <w:t xml:space="preserve"> céltartalék visszafordítása a széndioxid kvóta beszerzés vonatkozásában 7 166 eFt összegben.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D96B93" w:rsidRDefault="00D96B93" w:rsidP="00752B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52B63" w:rsidRPr="00752B63" w:rsidRDefault="00752B63" w:rsidP="00752B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B63">
        <w:rPr>
          <w:rFonts w:ascii="Times New Roman" w:eastAsia="Times New Roman" w:hAnsi="Times New Roman"/>
          <w:bCs/>
          <w:sz w:val="24"/>
          <w:szCs w:val="24"/>
          <w:lang w:eastAsia="hu-HU"/>
        </w:rPr>
        <w:t>A Társaság 201</w:t>
      </w:r>
      <w:r w:rsidR="00944757">
        <w:rPr>
          <w:rFonts w:ascii="Times New Roman" w:eastAsia="Times New Roman" w:hAnsi="Times New Roman"/>
          <w:bCs/>
          <w:sz w:val="24"/>
          <w:szCs w:val="24"/>
          <w:lang w:eastAsia="hu-HU"/>
        </w:rPr>
        <w:t>8</w:t>
      </w:r>
      <w:r w:rsidRPr="00752B6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évi </w:t>
      </w:r>
      <w:r w:rsidR="00D654D9">
        <w:rPr>
          <w:rFonts w:ascii="Times New Roman" w:eastAsia="Times New Roman" w:hAnsi="Times New Roman"/>
          <w:bCs/>
          <w:sz w:val="24"/>
          <w:szCs w:val="24"/>
          <w:lang w:eastAsia="hu-HU"/>
        </w:rPr>
        <w:t>218</w:t>
      </w:r>
      <w:r w:rsidRPr="00752B63">
        <w:rPr>
          <w:rFonts w:ascii="Times New Roman" w:eastAsia="Times New Roman" w:hAnsi="Times New Roman"/>
          <w:bCs/>
          <w:sz w:val="24"/>
          <w:szCs w:val="24"/>
          <w:lang w:eastAsia="hu-HU"/>
        </w:rPr>
        <w:t> </w:t>
      </w:r>
      <w:r w:rsidR="00D654D9">
        <w:rPr>
          <w:rFonts w:ascii="Times New Roman" w:eastAsia="Times New Roman" w:hAnsi="Times New Roman"/>
          <w:bCs/>
          <w:sz w:val="24"/>
          <w:szCs w:val="24"/>
          <w:lang w:eastAsia="hu-HU"/>
        </w:rPr>
        <w:t>908</w:t>
      </w:r>
      <w:r w:rsidRPr="00752B6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eFt egyéb ráfordítása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következő gazdasági események eredménye.</w:t>
      </w:r>
    </w:p>
    <w:p w:rsidR="00752B63" w:rsidRDefault="00752B63" w:rsidP="003928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>Munkahelyi balesetből eredően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baleseti járadék teljesítése </w:t>
      </w:r>
      <w:r>
        <w:rPr>
          <w:rFonts w:ascii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sz w:val="24"/>
          <w:szCs w:val="24"/>
          <w:lang w:eastAsia="hu-HU"/>
        </w:rPr>
        <w:tab/>
        <w:t xml:space="preserve">           5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67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Munkavégzésből eredő kártérítés </w:t>
      </w:r>
      <w:r>
        <w:rPr>
          <w:rFonts w:ascii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sz w:val="24"/>
          <w:szCs w:val="24"/>
          <w:lang w:eastAsia="hu-HU"/>
        </w:rPr>
        <w:tab/>
        <w:t xml:space="preserve">          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389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</w:t>
      </w:r>
    </w:p>
    <w:p w:rsidR="00752B63" w:rsidRPr="00537808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>Szállítói kötelezettségből eredő késedelmi kamat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>fizetési k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ötelezettség </w:t>
      </w:r>
      <w:r>
        <w:rPr>
          <w:rFonts w:ascii="Times New Roman" w:hAnsi="Times New Roman"/>
          <w:bCs/>
          <w:sz w:val="24"/>
          <w:szCs w:val="24"/>
          <w:lang w:eastAsia="hu-HU"/>
        </w:rPr>
        <w:tab/>
        <w:t xml:space="preserve"> </w:t>
      </w:r>
      <w:r w:rsidR="00725F43">
        <w:rPr>
          <w:rFonts w:ascii="Times New Roman" w:hAnsi="Times New Roman"/>
          <w:bCs/>
          <w:sz w:val="24"/>
          <w:szCs w:val="24"/>
          <w:lang w:eastAsia="hu-HU"/>
        </w:rPr>
        <w:t>4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3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eFt</w:t>
      </w:r>
    </w:p>
    <w:p w:rsidR="00FA4A05" w:rsidRDefault="00FA4A05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FA4A05" w:rsidRDefault="00CD5010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Bírság, késedelmi pótlék, önellenőrzési pótlék</w:t>
      </w:r>
      <w:r w:rsidR="00725F43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725F43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FA4A05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FA4A05">
        <w:rPr>
          <w:rFonts w:ascii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23 </w:t>
      </w:r>
      <w:r w:rsidR="00FA4A05">
        <w:rPr>
          <w:rFonts w:ascii="Times New Roman" w:hAnsi="Times New Roman"/>
          <w:bCs/>
          <w:sz w:val="24"/>
          <w:szCs w:val="24"/>
          <w:lang w:eastAsia="hu-HU"/>
        </w:rPr>
        <w:t>eFt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Társaságunk a 2018. évben végrehajtott távhővezeték szakasz cserék során selejtezte a kiváltott primer és szekunder vezetékszakaszt és nyilvántartásából kivezette azt. A selejtezés 231 eFt nettó értéken történt meg, amely az egyéb ráfordítások között került könyvelésre. </w:t>
      </w: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jégpályán meghibásodott kamerarendszer került selejtezésre, amelyek nettó értéke 9 eFt. </w:t>
      </w: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5D11EA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Társaságunk 2018. évben javasolta a könyvekből történő kivezetését, és selejtezte a meg nem valósítandó KEHOP-5.3.1 távhőszektor energetikai pályázat kapcsán felmerült, és mint befejezetlen beruházásként nyilvántartott gazdasági események tételeit 9 606 eFt összegben.</w:t>
      </w:r>
      <w:r w:rsidR="00105935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5D11E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D5010" w:rsidRDefault="00CD5010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560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összegben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t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>ámogatási m</w:t>
      </w:r>
      <w:r>
        <w:rPr>
          <w:rFonts w:ascii="Times New Roman" w:hAnsi="Times New Roman"/>
          <w:bCs/>
          <w:sz w:val="24"/>
          <w:szCs w:val="24"/>
          <w:lang w:eastAsia="hu-HU"/>
        </w:rPr>
        <w:t>egállapodásokban rögzített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került kifizetésre.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A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Frakk Várpalota és Környéke Állatvédő Egyesület részére 200 eFt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hu-HU"/>
        </w:rPr>
        <w:t>a V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>árpalotai Modellező Egyesület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részére 360 eFt összegű kifizetés történt vissza nem térítendő támogatásként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CD5010" w:rsidRDefault="00CD5010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>Vevő követelésekre ké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pzett értékvesztés összege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14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152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eFt. Behajthatatlan követelésnek minősített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és leírt követelés összege 201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. évben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40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430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eFt.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52B63" w:rsidRPr="00537808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A Virágbolt készletének értékesítésre alkalmatlanná válásából eredően selejtezésre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470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 értékben kerültek tételek.</w:t>
      </w:r>
    </w:p>
    <w:p w:rsidR="00752B63" w:rsidRDefault="00752B63" w:rsidP="00752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Az egyéb ráfordítások között a Társaság Várpalota Város Önkormányzata felé teljesítendő tárgy évi helyi </w:t>
      </w:r>
      <w:r>
        <w:rPr>
          <w:rFonts w:ascii="Times New Roman" w:hAnsi="Times New Roman"/>
          <w:bCs/>
          <w:sz w:val="24"/>
          <w:szCs w:val="24"/>
          <w:lang w:eastAsia="hu-HU"/>
        </w:rPr>
        <w:t>iparűzési adó kötelezettsége 15 287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t, építményadó kötelezettsége 4 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>3</w:t>
      </w:r>
      <w:r>
        <w:rPr>
          <w:rFonts w:ascii="Times New Roman" w:hAnsi="Times New Roman"/>
          <w:bCs/>
          <w:sz w:val="24"/>
          <w:szCs w:val="24"/>
          <w:lang w:eastAsia="hu-HU"/>
        </w:rPr>
        <w:t>47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eFt, a telekadó </w:t>
      </w:r>
      <w:r>
        <w:rPr>
          <w:rFonts w:ascii="Times New Roman" w:hAnsi="Times New Roman"/>
          <w:bCs/>
          <w:sz w:val="24"/>
          <w:szCs w:val="24"/>
          <w:lang w:eastAsia="hu-HU"/>
        </w:rPr>
        <w:t>1 417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eFt, és 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gépjárműadó kötelezettsége 1 835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eFt.</w:t>
      </w:r>
    </w:p>
    <w:p w:rsidR="00CD5010" w:rsidRDefault="00CD5010" w:rsidP="008535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Költségvetésnek fizetendő adók esetében a rehabilitációs hozzájárulás mértéke </w:t>
      </w:r>
      <w:r>
        <w:rPr>
          <w:rFonts w:ascii="Times New Roman" w:hAnsi="Times New Roman"/>
          <w:bCs/>
          <w:sz w:val="24"/>
          <w:szCs w:val="24"/>
          <w:lang w:eastAsia="hu-HU"/>
        </w:rPr>
        <w:t>248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eFt, innovációs járulék tárgy évi </w:t>
      </w:r>
      <w:r>
        <w:rPr>
          <w:rFonts w:ascii="Times New Roman" w:hAnsi="Times New Roman"/>
          <w:bCs/>
          <w:sz w:val="24"/>
          <w:szCs w:val="24"/>
          <w:lang w:eastAsia="hu-HU"/>
        </w:rPr>
        <w:t>2 293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eFt, cégautó adó </w:t>
      </w:r>
      <w:r>
        <w:rPr>
          <w:rFonts w:ascii="Times New Roman" w:hAnsi="Times New Roman"/>
          <w:bCs/>
          <w:sz w:val="24"/>
          <w:szCs w:val="24"/>
          <w:lang w:eastAsia="hu-HU"/>
        </w:rPr>
        <w:t>329 eFt, a közművezeték adó 1 693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eFt, a környezetvédelmi termékdíj </w:t>
      </w:r>
      <w:r>
        <w:rPr>
          <w:rFonts w:ascii="Times New Roman" w:hAnsi="Times New Roman"/>
          <w:bCs/>
          <w:sz w:val="24"/>
          <w:szCs w:val="24"/>
          <w:lang w:eastAsia="hu-HU"/>
        </w:rPr>
        <w:t>16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</w:t>
      </w:r>
      <w:r>
        <w:rPr>
          <w:rFonts w:ascii="Times New Roman" w:hAnsi="Times New Roman"/>
          <w:bCs/>
          <w:sz w:val="24"/>
          <w:szCs w:val="24"/>
          <w:lang w:eastAsia="hu-HU"/>
        </w:rPr>
        <w:t>, a környezetterhelési díj 620 eFt.</w:t>
      </w:r>
    </w:p>
    <w:p w:rsidR="00CD5010" w:rsidRDefault="00CD5010" w:rsidP="008535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Társaság 2018. évi térítés mentes széndioxid kvóta kiosztásból eredő felhasználása 13 377 eFt volt, illetve a 2017. évi felhasználásból eredő, viszont 2018. januárban beszerzett mennyiség értéke 7 165 eFt. </w:t>
      </w:r>
    </w:p>
    <w:p w:rsidR="00CD5010" w:rsidRDefault="00CD5010" w:rsidP="008535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D5010" w:rsidRDefault="00CD5010" w:rsidP="00CD5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Társaság jövőbeni költségre céltartalékot képzett. A 2018. évi teljes széndioxid kvóta felhasználást nem fedezte a térítés mentes kiosztás, ezért vásárolni kényszerült Társaságunk 4575 kibocsátási egységet, amely határidős ügylet 2019. március 22-én teljesül, ezért már 2019. évi gazdasági esemény. A céltartalék képzés összege 29 623 eFt.</w:t>
      </w:r>
    </w:p>
    <w:p w:rsidR="00CD5010" w:rsidRDefault="00CD5010" w:rsidP="00CD50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D5010" w:rsidRDefault="00CD5010" w:rsidP="00CD50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Társaság rekultivációs kötelezettségéből eredően ismételten felülvizsgáltuk ebből eredő jövőbeli költségeinket, és megállapításra került, hogy további céltartalék képzése vált indokolttá, amelynek összege 73 617 eFt.</w:t>
      </w:r>
    </w:p>
    <w:p w:rsidR="002B16D1" w:rsidRDefault="002B16D1" w:rsidP="002B16D1">
      <w:pPr>
        <w:rPr>
          <w:rFonts w:ascii="Times New Roman" w:hAnsi="Times New Roman"/>
          <w:sz w:val="24"/>
          <w:szCs w:val="24"/>
        </w:rPr>
      </w:pPr>
    </w:p>
    <w:p w:rsidR="00B27372" w:rsidRPr="003928C9" w:rsidRDefault="002B16D1" w:rsidP="002B16D1">
      <w:pPr>
        <w:rPr>
          <w:rFonts w:ascii="Times New Roman" w:hAnsi="Times New Roman"/>
          <w:b/>
          <w:sz w:val="24"/>
          <w:szCs w:val="24"/>
        </w:rPr>
      </w:pPr>
      <w:r w:rsidRPr="003928C9">
        <w:rPr>
          <w:rFonts w:ascii="Times New Roman" w:hAnsi="Times New Roman"/>
          <w:b/>
          <w:sz w:val="24"/>
          <w:szCs w:val="24"/>
        </w:rPr>
        <w:t>Pénzügyi eredmény</w:t>
      </w:r>
    </w:p>
    <w:p w:rsidR="00DA4E4F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A pénzügyi műveletek </w:t>
      </w:r>
      <w:r w:rsidR="0043184F" w:rsidRPr="0043184F">
        <w:rPr>
          <w:rFonts w:ascii="Times New Roman" w:hAnsi="Times New Roman"/>
          <w:b/>
          <w:bCs/>
          <w:sz w:val="24"/>
          <w:szCs w:val="24"/>
          <w:lang w:eastAsia="hu-HU"/>
        </w:rPr>
        <w:t>1</w:t>
      </w:r>
      <w:r w:rsidR="00A6354D" w:rsidRPr="0043184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43184F" w:rsidRPr="0043184F">
        <w:rPr>
          <w:rFonts w:ascii="Times New Roman" w:hAnsi="Times New Roman"/>
          <w:b/>
          <w:bCs/>
          <w:sz w:val="24"/>
          <w:szCs w:val="24"/>
          <w:lang w:eastAsia="hu-HU"/>
        </w:rPr>
        <w:t>292</w:t>
      </w:r>
      <w:r w:rsidRPr="0043184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eFt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752B63">
        <w:rPr>
          <w:rFonts w:ascii="Times New Roman" w:hAnsi="Times New Roman"/>
          <w:bCs/>
          <w:sz w:val="24"/>
          <w:szCs w:val="24"/>
          <w:lang w:eastAsia="hu-HU"/>
        </w:rPr>
        <w:t xml:space="preserve">összegű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pozitív</w:t>
      </w:r>
      <w:r w:rsidR="00752B63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eredményét </w:t>
      </w:r>
      <w:r w:rsidR="0096018D">
        <w:rPr>
          <w:rFonts w:ascii="Times New Roman" w:hAnsi="Times New Roman"/>
          <w:bCs/>
          <w:sz w:val="24"/>
          <w:szCs w:val="24"/>
          <w:lang w:eastAsia="hu-HU"/>
        </w:rPr>
        <w:t xml:space="preserve">az alábbi gazdasági események 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eredményezték</w:t>
      </w:r>
      <w:r w:rsidR="0096018D">
        <w:rPr>
          <w:rFonts w:ascii="Times New Roman" w:hAnsi="Times New Roman"/>
          <w:bCs/>
          <w:sz w:val="24"/>
          <w:szCs w:val="24"/>
          <w:lang w:eastAsia="hu-HU"/>
        </w:rPr>
        <w:t xml:space="preserve"> 201</w:t>
      </w:r>
      <w:r w:rsidR="00CD5010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="0096018D">
        <w:rPr>
          <w:rFonts w:ascii="Times New Roman" w:hAnsi="Times New Roman"/>
          <w:bCs/>
          <w:sz w:val="24"/>
          <w:szCs w:val="24"/>
          <w:lang w:eastAsia="hu-HU"/>
        </w:rPr>
        <w:t xml:space="preserve">. évben. </w:t>
      </w:r>
    </w:p>
    <w:p w:rsidR="00B0064E" w:rsidRDefault="0096018D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Társaság </w:t>
      </w:r>
      <w:r w:rsidR="00EE6BB6">
        <w:rPr>
          <w:rFonts w:ascii="Times New Roman" w:hAnsi="Times New Roman"/>
          <w:bCs/>
          <w:sz w:val="24"/>
          <w:szCs w:val="24"/>
          <w:lang w:eastAsia="hu-HU"/>
        </w:rPr>
        <w:t xml:space="preserve">pénzügyi ráfordításai között fizetett kamatként 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a zárt végű pénzügyi lízing 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>1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>516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 összegű kamatfizetési kötelezettsége </w:t>
      </w:r>
      <w:r w:rsidR="00EE6BB6">
        <w:rPr>
          <w:rFonts w:ascii="Times New Roman" w:hAnsi="Times New Roman"/>
          <w:bCs/>
          <w:sz w:val="24"/>
          <w:szCs w:val="24"/>
          <w:lang w:eastAsia="hu-HU"/>
        </w:rPr>
        <w:t>került elszámolásra.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43184F">
        <w:rPr>
          <w:rFonts w:ascii="Times New Roman" w:eastAsia="Times New Roman" w:hAnsi="Times New Roman"/>
          <w:bCs/>
          <w:sz w:val="24"/>
          <w:szCs w:val="24"/>
          <w:lang w:eastAsia="hu-HU"/>
        </w:rPr>
        <w:t>A Társaság folyószámlahitel kamat kötelezettsége 2018. évben 166 eFt összegben realizálódott.</w:t>
      </w:r>
    </w:p>
    <w:p w:rsidR="00B0064E" w:rsidRDefault="00EE6BB6" w:rsidP="00EE6B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 </w:t>
      </w:r>
    </w:p>
    <w:p w:rsidR="0043184F" w:rsidRDefault="00EE6BB6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pénzügyi műveletek egyéb ráfordításai között 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a Társaságunk által társasházakban üzemeltetett hőközpontok után fizetendő 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>1 033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 közös költség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 xml:space="preserve"> és egy szállító partner </w:t>
      </w:r>
      <w:r w:rsidR="00815766">
        <w:rPr>
          <w:rFonts w:ascii="Times New Roman" w:hAnsi="Times New Roman"/>
          <w:bCs/>
          <w:sz w:val="24"/>
          <w:szCs w:val="24"/>
          <w:lang w:eastAsia="hu-HU"/>
        </w:rPr>
        <w:t>deviz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>ában kiállított</w:t>
      </w:r>
      <w:r w:rsidR="00815766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>számláinak kiegyenlítéséből</w:t>
      </w:r>
      <w:r w:rsidR="00815766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 xml:space="preserve">eredő 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>14</w:t>
      </w:r>
      <w:r w:rsidR="00815766">
        <w:rPr>
          <w:rFonts w:ascii="Times New Roman" w:hAnsi="Times New Roman"/>
          <w:bCs/>
          <w:sz w:val="24"/>
          <w:szCs w:val="24"/>
          <w:lang w:eastAsia="hu-HU"/>
        </w:rPr>
        <w:t xml:space="preserve"> eFt árfolyamveszteség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 xml:space="preserve"> került elszámolásra</w:t>
      </w:r>
      <w:r w:rsidR="00815766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43184F">
        <w:rPr>
          <w:rFonts w:ascii="Times New Roman" w:eastAsia="Times New Roman" w:hAnsi="Times New Roman"/>
          <w:bCs/>
          <w:sz w:val="24"/>
          <w:szCs w:val="24"/>
          <w:lang w:eastAsia="hu-HU"/>
        </w:rPr>
        <w:t>Egyesülési tagság vonatkozásában Társaságunk 190 eFt működési költség térítést számolt el 2018. évben.</w:t>
      </w:r>
      <w:r w:rsidR="003928C9"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3928C9" w:rsidRPr="00537808" w:rsidRDefault="003928C9" w:rsidP="0039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lastRenderedPageBreak/>
        <w:t>Összesen</w:t>
      </w:r>
      <w:r w:rsidR="00815766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43184F" w:rsidRPr="0043184F"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574002" w:rsidRPr="0043184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43184F" w:rsidRPr="0043184F">
        <w:rPr>
          <w:rFonts w:ascii="Times New Roman" w:hAnsi="Times New Roman"/>
          <w:b/>
          <w:bCs/>
          <w:sz w:val="24"/>
          <w:szCs w:val="24"/>
          <w:lang w:eastAsia="hu-HU"/>
        </w:rPr>
        <w:t>919</w:t>
      </w:r>
      <w:r w:rsidRPr="0043184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eFt a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Társaság pén</w:t>
      </w:r>
      <w:r w:rsidR="00A6354D">
        <w:rPr>
          <w:rFonts w:ascii="Times New Roman" w:hAnsi="Times New Roman"/>
          <w:bCs/>
          <w:sz w:val="24"/>
          <w:szCs w:val="24"/>
          <w:lang w:eastAsia="hu-HU"/>
        </w:rPr>
        <w:t>zügyi műveleteinek ráfordítása.</w:t>
      </w:r>
    </w:p>
    <w:p w:rsidR="00B0064E" w:rsidRDefault="00B0064E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B16D1" w:rsidRDefault="003928C9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537808">
        <w:rPr>
          <w:rFonts w:ascii="Times New Roman" w:hAnsi="Times New Roman"/>
          <w:bCs/>
          <w:sz w:val="24"/>
          <w:szCs w:val="24"/>
          <w:lang w:eastAsia="hu-HU"/>
        </w:rPr>
        <w:t>A pénzügyi műveletek bevételeit a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 xml:space="preserve"> folyószámlák,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megtakarítási és rekultivációs letéti számla kamat </w:t>
      </w:r>
      <w:r w:rsidR="00262B9C">
        <w:rPr>
          <w:rFonts w:ascii="Times New Roman" w:hAnsi="Times New Roman"/>
          <w:bCs/>
          <w:sz w:val="24"/>
          <w:szCs w:val="24"/>
          <w:lang w:eastAsia="hu-HU"/>
        </w:rPr>
        <w:t>j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>óváírásai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 xml:space="preserve"> összesen 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>3</w:t>
      </w:r>
      <w:r w:rsidR="00574002">
        <w:rPr>
          <w:rFonts w:ascii="Times New Roman" w:hAnsi="Times New Roman"/>
          <w:bCs/>
          <w:sz w:val="24"/>
          <w:szCs w:val="24"/>
          <w:lang w:eastAsia="hu-HU"/>
        </w:rPr>
        <w:t xml:space="preserve"> eFt összegben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és az árfolyamnyereség tételei eredményezték </w:t>
      </w:r>
      <w:r w:rsidR="0043184F">
        <w:rPr>
          <w:rFonts w:ascii="Times New Roman" w:hAnsi="Times New Roman"/>
          <w:bCs/>
          <w:sz w:val="24"/>
          <w:szCs w:val="24"/>
          <w:lang w:eastAsia="hu-HU"/>
        </w:rPr>
        <w:t>74</w:t>
      </w:r>
      <w:r w:rsidRPr="00537808">
        <w:rPr>
          <w:rFonts w:ascii="Times New Roman" w:hAnsi="Times New Roman"/>
          <w:bCs/>
          <w:sz w:val="24"/>
          <w:szCs w:val="24"/>
          <w:lang w:eastAsia="hu-HU"/>
        </w:rPr>
        <w:t xml:space="preserve"> eFt összegben.</w:t>
      </w:r>
    </w:p>
    <w:p w:rsidR="000F506E" w:rsidRDefault="0043184F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Társaság ingatlan bérlő partnere részére átterhelt közös költség 2018. évi összege </w:t>
      </w:r>
      <w:r w:rsidRPr="00A5155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22 eFt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volt.</w:t>
      </w:r>
    </w:p>
    <w:p w:rsidR="0043184F" w:rsidRDefault="0043184F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3184F" w:rsidRDefault="0043184F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Társaság üzletrészei vonatkozásában 2018. évben a Thury-Vár Nonprofit Kft. és a Várpalotai Hulladékgazdálkodási Nonprofit Kft. esetében állapította meg az elszámolt értékvesztés helyesbítését </w:t>
      </w:r>
      <w:r w:rsidRPr="008751C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4 112 eFt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összegben.</w:t>
      </w:r>
    </w:p>
    <w:p w:rsidR="0043184F" w:rsidRDefault="0043184F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B0064E" w:rsidRDefault="00B0064E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Összesen </w:t>
      </w:r>
      <w:r w:rsidR="0043184F" w:rsidRPr="0043184F">
        <w:rPr>
          <w:rFonts w:ascii="Times New Roman" w:hAnsi="Times New Roman"/>
          <w:b/>
          <w:bCs/>
          <w:sz w:val="24"/>
          <w:szCs w:val="24"/>
          <w:lang w:eastAsia="hu-HU"/>
        </w:rPr>
        <w:t>4 211</w:t>
      </w:r>
      <w:r w:rsidRPr="0043184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eFt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Társaság pénzügyi műveleteinek bevétele.</w:t>
      </w:r>
    </w:p>
    <w:p w:rsidR="00B0064E" w:rsidRDefault="00B0064E" w:rsidP="00262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623A3C" w:rsidRDefault="00B27372" w:rsidP="00E60C0C">
      <w:pPr>
        <w:pStyle w:val="Cmsor3"/>
      </w:pPr>
      <w:bookmarkStart w:id="2" w:name="_Toc511392621"/>
      <w:r>
        <w:t xml:space="preserve">III. </w:t>
      </w:r>
      <w:r w:rsidR="001C38B2" w:rsidRPr="00B27372">
        <w:t>Vagyoni helyzet</w:t>
      </w:r>
      <w:bookmarkEnd w:id="2"/>
    </w:p>
    <w:p w:rsidR="00B0064E" w:rsidRPr="00B0064E" w:rsidRDefault="00B0064E" w:rsidP="00B0064E"/>
    <w:p w:rsidR="00575BBA" w:rsidRPr="00FB73CF" w:rsidRDefault="00575BBA" w:rsidP="00575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Az eszközállomány összetétele a következők szerint alakult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460C20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A30856">
        <w:rPr>
          <w:rFonts w:ascii="Times New Roman" w:eastAsia="Times New Roman" w:hAnsi="Times New Roman"/>
          <w:sz w:val="24"/>
          <w:szCs w:val="24"/>
          <w:lang w:eastAsia="hu-HU"/>
        </w:rPr>
        <w:t>. év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A6354D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n:</w:t>
      </w:r>
    </w:p>
    <w:p w:rsidR="00B0064E" w:rsidRDefault="00B0064E" w:rsidP="00575BB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222"/>
        <w:gridCol w:w="799"/>
        <w:gridCol w:w="1105"/>
        <w:gridCol w:w="925"/>
      </w:tblGrid>
      <w:tr w:rsidR="00575BBA" w:rsidRPr="005000D3" w:rsidTr="001D5736">
        <w:trPr>
          <w:cantSplit/>
          <w:trHeight w:val="247"/>
        </w:trPr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A6354D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553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575BBA"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.12.31.</w:t>
            </w:r>
          </w:p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Bázis</w:t>
            </w:r>
          </w:p>
        </w:tc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A6354D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553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="00575BBA"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.12.31.</w:t>
            </w:r>
          </w:p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Tény</w:t>
            </w:r>
          </w:p>
        </w:tc>
      </w:tr>
      <w:tr w:rsidR="00575BBA" w:rsidRPr="005000D3" w:rsidTr="00A30856">
        <w:trPr>
          <w:cantSplit/>
          <w:trHeight w:val="2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BBA" w:rsidRPr="00575BBA" w:rsidRDefault="00575BBA" w:rsidP="00F76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</w:tr>
      <w:tr w:rsidR="00553B31" w:rsidRPr="005000D3" w:rsidTr="00A3085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Befektetett eszközök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1 267 057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88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553B31" w:rsidRPr="005000D3" w:rsidTr="00A3085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Forgóeszközök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499 413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707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34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553B31" w:rsidRPr="005000D3" w:rsidTr="00A3085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Aktív időbeli elhatárolás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69 669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553B31" w:rsidRPr="005000D3" w:rsidTr="00A3085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1 836 139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057</w:t>
            </w: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746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100,0</w:t>
            </w:r>
          </w:p>
        </w:tc>
      </w:tr>
    </w:tbl>
    <w:p w:rsidR="00F32350" w:rsidRDefault="00F32350" w:rsidP="00F769C2">
      <w:pPr>
        <w:ind w:firstLine="708"/>
        <w:rPr>
          <w:rFonts w:ascii="Times New Roman" w:hAnsi="Times New Roman"/>
          <w:sz w:val="24"/>
          <w:szCs w:val="24"/>
        </w:rPr>
      </w:pPr>
    </w:p>
    <w:p w:rsidR="00754B7B" w:rsidRDefault="00575BBA" w:rsidP="00F769C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eszköz állományon belül a f</w:t>
      </w:r>
      <w:r w:rsidR="00754B7B">
        <w:rPr>
          <w:rFonts w:ascii="Times New Roman" w:hAnsi="Times New Roman"/>
          <w:sz w:val="24"/>
          <w:szCs w:val="24"/>
        </w:rPr>
        <w:t>orgóeszközök</w:t>
      </w:r>
      <w:r>
        <w:rPr>
          <w:rFonts w:ascii="Times New Roman" w:hAnsi="Times New Roman"/>
          <w:sz w:val="24"/>
          <w:szCs w:val="24"/>
        </w:rPr>
        <w:t xml:space="preserve"> a következők szerint</w:t>
      </w:r>
      <w:r w:rsidR="00754B7B">
        <w:rPr>
          <w:rFonts w:ascii="Times New Roman" w:hAnsi="Times New Roman"/>
          <w:sz w:val="24"/>
          <w:szCs w:val="24"/>
        </w:rPr>
        <w:t xml:space="preserve"> alakul</w:t>
      </w:r>
      <w:r>
        <w:rPr>
          <w:rFonts w:ascii="Times New Roman" w:hAnsi="Times New Roman"/>
          <w:sz w:val="24"/>
          <w:szCs w:val="24"/>
        </w:rPr>
        <w:t>tak:</w:t>
      </w:r>
    </w:p>
    <w:p w:rsidR="009151BF" w:rsidRDefault="009151BF" w:rsidP="00F769C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984"/>
        <w:gridCol w:w="2127"/>
      </w:tblGrid>
      <w:tr w:rsidR="00575BBA" w:rsidRPr="00F4434F" w:rsidTr="00F769C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5BBA" w:rsidRPr="009835E3" w:rsidRDefault="00575BBA" w:rsidP="00F769C2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9835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BA" w:rsidRPr="00303047" w:rsidRDefault="00575BBA" w:rsidP="00A30856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lang w:eastAsia="hu-HU"/>
              </w:rPr>
            </w:pPr>
            <w:r w:rsidRPr="00303047">
              <w:rPr>
                <w:rFonts w:ascii="Times New Roman" w:hAnsi="Times New Roman"/>
                <w:b/>
                <w:bCs/>
                <w:iCs/>
                <w:lang w:eastAsia="hu-HU"/>
              </w:rPr>
              <w:t>201</w:t>
            </w:r>
            <w:r w:rsidR="00553B31">
              <w:rPr>
                <w:rFonts w:ascii="Times New Roman" w:hAnsi="Times New Roman"/>
                <w:b/>
                <w:bCs/>
                <w:iCs/>
                <w:lang w:eastAsia="hu-HU"/>
              </w:rPr>
              <w:t>7</w:t>
            </w:r>
            <w:r w:rsidR="00716AB2" w:rsidRPr="00303047">
              <w:rPr>
                <w:rFonts w:ascii="Times New Roman" w:hAnsi="Times New Roman"/>
                <w:b/>
                <w:bCs/>
                <w:iCs/>
                <w:lang w:eastAsia="hu-HU"/>
              </w:rPr>
              <w:t>.</w:t>
            </w:r>
            <w:r w:rsidRPr="00303047">
              <w:rPr>
                <w:rFonts w:ascii="Times New Roman" w:hAnsi="Times New Roman"/>
                <w:b/>
                <w:bCs/>
                <w:iCs/>
                <w:lang w:eastAsia="hu-HU"/>
              </w:rPr>
              <w:t> tény eFt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75BBA" w:rsidRPr="00303047" w:rsidRDefault="00575BBA" w:rsidP="00A30856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lang w:eastAsia="hu-HU"/>
              </w:rPr>
            </w:pPr>
            <w:r w:rsidRPr="00303047">
              <w:rPr>
                <w:rFonts w:ascii="Times New Roman" w:hAnsi="Times New Roman"/>
                <w:b/>
                <w:bCs/>
                <w:iCs/>
                <w:lang w:eastAsia="hu-HU"/>
              </w:rPr>
              <w:t>20</w:t>
            </w:r>
            <w:r w:rsidR="001D5736" w:rsidRPr="00303047">
              <w:rPr>
                <w:rFonts w:ascii="Times New Roman" w:hAnsi="Times New Roman"/>
                <w:b/>
                <w:bCs/>
                <w:iCs/>
                <w:lang w:eastAsia="hu-HU"/>
              </w:rPr>
              <w:t>1</w:t>
            </w:r>
            <w:r w:rsidR="00553B31">
              <w:rPr>
                <w:rFonts w:ascii="Times New Roman" w:hAnsi="Times New Roman"/>
                <w:b/>
                <w:bCs/>
                <w:iCs/>
                <w:lang w:eastAsia="hu-HU"/>
              </w:rPr>
              <w:t>8</w:t>
            </w:r>
            <w:r w:rsidRPr="00303047">
              <w:rPr>
                <w:rFonts w:ascii="Times New Roman" w:hAnsi="Times New Roman"/>
                <w:b/>
                <w:bCs/>
                <w:iCs/>
                <w:lang w:eastAsia="hu-HU"/>
              </w:rPr>
              <w:t>. tény eFt</w:t>
            </w:r>
          </w:p>
        </w:tc>
      </w:tr>
      <w:tr w:rsidR="00575BBA" w:rsidRPr="00F4434F" w:rsidTr="00F769C2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BA" w:rsidRPr="009835E3" w:rsidRDefault="00575BBA" w:rsidP="00F769C2">
            <w:pPr>
              <w:spacing w:after="0" w:line="240" w:lineRule="auto"/>
              <w:ind w:right="425"/>
              <w:rPr>
                <w:rFonts w:ascii="Times New Roman" w:hAnsi="Times New Roman"/>
                <w:b/>
                <w:bCs/>
                <w:iCs/>
                <w:lang w:eastAsia="hu-HU"/>
              </w:rPr>
            </w:pPr>
            <w:r w:rsidRPr="009835E3">
              <w:rPr>
                <w:rFonts w:ascii="Times New Roman" w:hAnsi="Times New Roman"/>
                <w:b/>
                <w:bCs/>
                <w:iCs/>
                <w:lang w:eastAsia="hu-HU"/>
              </w:rPr>
              <w:t>Forgóeszközök: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BA" w:rsidRPr="009835E3" w:rsidRDefault="00575BBA" w:rsidP="00F769C2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BA" w:rsidRPr="009835E3" w:rsidRDefault="00575BBA" w:rsidP="00F769C2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lang w:eastAsia="hu-HU"/>
              </w:rPr>
            </w:pPr>
          </w:p>
        </w:tc>
      </w:tr>
      <w:tr w:rsidR="00553B31" w:rsidRPr="00F4434F" w:rsidTr="00F769C2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lang w:eastAsia="hu-HU"/>
              </w:rPr>
            </w:pPr>
            <w:r w:rsidRPr="009835E3">
              <w:rPr>
                <w:rFonts w:ascii="Times New Roman" w:hAnsi="Times New Roman"/>
                <w:lang w:eastAsia="hu-HU"/>
              </w:rPr>
              <w:t>- Készletek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12</w:t>
            </w:r>
            <w:r w:rsidRPr="009835E3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471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15</w:t>
            </w:r>
            <w:r w:rsidRPr="009835E3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953</w:t>
            </w:r>
          </w:p>
        </w:tc>
      </w:tr>
      <w:tr w:rsidR="00553B31" w:rsidRPr="00F4434F" w:rsidTr="00F769C2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lang w:eastAsia="hu-HU"/>
              </w:rPr>
            </w:pPr>
            <w:r w:rsidRPr="009835E3">
              <w:rPr>
                <w:rFonts w:ascii="Times New Roman" w:hAnsi="Times New Roman"/>
                <w:lang w:eastAsia="hu-HU"/>
              </w:rPr>
              <w:t>- Vevők</w:t>
            </w:r>
          </w:p>
          <w:p w:rsidR="00553B31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 Követelések kapcsolt vállalkozással szemben</w:t>
            </w:r>
          </w:p>
          <w:p w:rsidR="00553B31" w:rsidRPr="009835E3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- Követelések jelentős tulajdoni részesedési viszonyban lévő vállalkozással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69 514</w:t>
            </w:r>
          </w:p>
          <w:p w:rsidR="00553B31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6 228</w:t>
            </w:r>
          </w:p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114 311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98 920</w:t>
            </w:r>
          </w:p>
          <w:p w:rsidR="00553B31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9 210</w:t>
            </w:r>
          </w:p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115 761</w:t>
            </w:r>
          </w:p>
        </w:tc>
      </w:tr>
      <w:tr w:rsidR="00553B31" w:rsidRPr="00F4434F" w:rsidTr="00F769C2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lang w:eastAsia="hu-HU"/>
              </w:rPr>
            </w:pPr>
            <w:r w:rsidRPr="009835E3">
              <w:rPr>
                <w:rFonts w:ascii="Times New Roman" w:hAnsi="Times New Roman"/>
                <w:lang w:eastAsia="hu-HU"/>
              </w:rPr>
              <w:t>- Egyéb követelések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65</w:t>
            </w:r>
            <w:r w:rsidRPr="009835E3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906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105</w:t>
            </w:r>
            <w:r w:rsidRPr="009835E3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669</w:t>
            </w:r>
          </w:p>
        </w:tc>
      </w:tr>
      <w:tr w:rsidR="00553B31" w:rsidRPr="00F4434F" w:rsidTr="00F769C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lang w:eastAsia="hu-HU"/>
              </w:rPr>
            </w:pPr>
            <w:r w:rsidRPr="009835E3">
              <w:rPr>
                <w:rFonts w:ascii="Times New Roman" w:hAnsi="Times New Roman"/>
                <w:lang w:eastAsia="hu-HU"/>
              </w:rPr>
              <w:t>- Pénzeszközök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230</w:t>
            </w:r>
            <w:r w:rsidRPr="009835E3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362</w:t>
            </w:r>
            <w:r w:rsidRPr="009835E3">
              <w:rPr>
                <w:rFonts w:ascii="Times New Roman" w:hAnsi="Times New Roman"/>
                <w:lang w:eastAsia="hu-HU"/>
              </w:rPr>
              <w:t xml:space="preserve"> </w:t>
            </w:r>
            <w:r>
              <w:rPr>
                <w:rFonts w:ascii="Times New Roman" w:hAnsi="Times New Roman"/>
                <w:lang w:eastAsia="hu-HU"/>
              </w:rPr>
              <w:t>171</w:t>
            </w:r>
          </w:p>
        </w:tc>
      </w:tr>
      <w:tr w:rsidR="00553B31" w:rsidRPr="00F4434F" w:rsidTr="00F769C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B31" w:rsidRPr="009835E3" w:rsidRDefault="00553B31" w:rsidP="00553B31">
            <w:pPr>
              <w:spacing w:after="0" w:line="240" w:lineRule="auto"/>
              <w:ind w:right="425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9835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hu-HU"/>
              </w:rPr>
              <w:t>Forgóeszközök 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lang w:eastAsia="hu-HU"/>
              </w:rPr>
              <w:t>499 413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B31" w:rsidRPr="009835E3" w:rsidRDefault="00553B31" w:rsidP="00553B31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lang w:eastAsia="hu-HU"/>
              </w:rPr>
              <w:t>707 684</w:t>
            </w:r>
          </w:p>
        </w:tc>
      </w:tr>
    </w:tbl>
    <w:p w:rsidR="00575BBA" w:rsidRDefault="00575BBA" w:rsidP="00575BBA">
      <w:pPr>
        <w:ind w:left="928"/>
        <w:rPr>
          <w:rFonts w:ascii="Times New Roman" w:hAnsi="Times New Roman"/>
          <w:sz w:val="24"/>
          <w:szCs w:val="24"/>
        </w:rPr>
      </w:pPr>
    </w:p>
    <w:p w:rsidR="00754B7B" w:rsidRDefault="00575BBA" w:rsidP="00575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754B7B">
        <w:rPr>
          <w:rFonts w:ascii="Times New Roman" w:hAnsi="Times New Roman"/>
          <w:sz w:val="24"/>
          <w:szCs w:val="24"/>
        </w:rPr>
        <w:t>Források összetétele</w:t>
      </w:r>
      <w:r>
        <w:rPr>
          <w:rFonts w:ascii="Times New Roman" w:hAnsi="Times New Roman"/>
          <w:sz w:val="24"/>
          <w:szCs w:val="24"/>
        </w:rPr>
        <w:t xml:space="preserve"> a következők szerint alakult 201</w:t>
      </w:r>
      <w:r w:rsidR="00553B31">
        <w:rPr>
          <w:rFonts w:ascii="Times New Roman" w:hAnsi="Times New Roman"/>
          <w:sz w:val="24"/>
          <w:szCs w:val="24"/>
        </w:rPr>
        <w:t>8</w:t>
      </w:r>
      <w:r w:rsidR="00E302C1">
        <w:rPr>
          <w:rFonts w:ascii="Times New Roman" w:hAnsi="Times New Roman"/>
          <w:sz w:val="24"/>
          <w:szCs w:val="24"/>
        </w:rPr>
        <w:t>. év</w:t>
      </w:r>
      <w:r>
        <w:rPr>
          <w:rFonts w:ascii="Times New Roman" w:hAnsi="Times New Roman"/>
          <w:sz w:val="24"/>
          <w:szCs w:val="24"/>
        </w:rPr>
        <w:t>b</w:t>
      </w:r>
      <w:r w:rsidR="001D573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n:</w:t>
      </w:r>
    </w:p>
    <w:p w:rsidR="00575BBA" w:rsidRDefault="00575BBA" w:rsidP="00575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BBA" w:rsidRDefault="00575BBA" w:rsidP="00575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222"/>
        <w:gridCol w:w="799"/>
        <w:gridCol w:w="1020"/>
        <w:gridCol w:w="1020"/>
      </w:tblGrid>
      <w:tr w:rsidR="00575BBA" w:rsidRPr="005000D3" w:rsidTr="001D5736">
        <w:trPr>
          <w:cantSplit/>
          <w:trHeight w:val="247"/>
        </w:trPr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553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.12</w:t>
            </w: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.31.</w:t>
            </w:r>
          </w:p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Bázis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553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.31.</w:t>
            </w:r>
          </w:p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Tény</w:t>
            </w:r>
          </w:p>
        </w:tc>
      </w:tr>
      <w:tr w:rsidR="00575BBA" w:rsidRPr="005000D3" w:rsidTr="001D5736">
        <w:trPr>
          <w:cantSplit/>
          <w:trHeight w:val="2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BBA" w:rsidRPr="00575BBA" w:rsidRDefault="00575BBA" w:rsidP="00F76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5BBA" w:rsidRPr="00575BBA" w:rsidRDefault="00575BBA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%</w:t>
            </w:r>
          </w:p>
        </w:tc>
      </w:tr>
      <w:tr w:rsidR="00553B31" w:rsidRPr="005000D3" w:rsidTr="001D573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Saját tőke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894 596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960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,7</w:t>
            </w:r>
          </w:p>
        </w:tc>
      </w:tr>
      <w:tr w:rsidR="00553B31" w:rsidRPr="005000D3" w:rsidTr="001D573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69 117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165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553B31" w:rsidRPr="005000D3" w:rsidTr="001D573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Kötelezettség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860 183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921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,8</w:t>
            </w:r>
          </w:p>
        </w:tc>
      </w:tr>
      <w:tr w:rsidR="00553B31" w:rsidRPr="005000D3" w:rsidTr="001D573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575BBA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7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Passzív időbeli elhatárolás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12 243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553B31" w:rsidRPr="005000D3" w:rsidTr="001D5736">
        <w:trPr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1 836 139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057</w:t>
            </w: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100,0</w:t>
            </w:r>
          </w:p>
        </w:tc>
      </w:tr>
    </w:tbl>
    <w:p w:rsidR="00F769C2" w:rsidRDefault="00F769C2" w:rsidP="00575BBA">
      <w:pPr>
        <w:rPr>
          <w:rFonts w:ascii="Times New Roman" w:hAnsi="Times New Roman"/>
          <w:sz w:val="24"/>
          <w:szCs w:val="24"/>
        </w:rPr>
      </w:pPr>
    </w:p>
    <w:p w:rsidR="00F769C2" w:rsidRDefault="00F769C2" w:rsidP="00575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forrásokon belül a saját tőke az alábbiak szerint alakult 201</w:t>
      </w:r>
      <w:r w:rsidR="00553B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évben.</w:t>
      </w:r>
    </w:p>
    <w:tbl>
      <w:tblPr>
        <w:tblW w:w="0" w:type="auto"/>
        <w:tblInd w:w="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2021"/>
        <w:gridCol w:w="2021"/>
      </w:tblGrid>
      <w:tr w:rsidR="00F769C2" w:rsidRPr="005000D3" w:rsidTr="00F769C2">
        <w:trPr>
          <w:cantSplit/>
          <w:trHeight w:val="715"/>
        </w:trPr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69C2" w:rsidRPr="00F769C2" w:rsidRDefault="00F769C2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769C2" w:rsidRPr="00F769C2" w:rsidRDefault="00F769C2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69C2" w:rsidRPr="00F769C2" w:rsidRDefault="00276940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553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F769C2" w:rsidRPr="00F76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.12.31.</w:t>
            </w:r>
          </w:p>
          <w:p w:rsidR="00F769C2" w:rsidRPr="00F769C2" w:rsidRDefault="00F769C2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Bázis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69C2" w:rsidRPr="00F769C2" w:rsidRDefault="00276940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553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="00F769C2" w:rsidRPr="00F76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.12.31.</w:t>
            </w:r>
          </w:p>
          <w:p w:rsidR="00F769C2" w:rsidRPr="00F769C2" w:rsidRDefault="00F769C2" w:rsidP="00F76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Tény</w:t>
            </w:r>
          </w:p>
        </w:tc>
      </w:tr>
      <w:tr w:rsidR="00553B31" w:rsidRPr="005000D3" w:rsidTr="00F769C2">
        <w:trPr>
          <w:cantSplit/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F769C2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Jegyzett tőke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432 450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432 450</w:t>
            </w:r>
          </w:p>
        </w:tc>
      </w:tr>
      <w:tr w:rsidR="00553B31" w:rsidRPr="005000D3" w:rsidTr="00F769C2">
        <w:trPr>
          <w:cantSplit/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F769C2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Tőketartalék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39 115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39 115</w:t>
            </w:r>
          </w:p>
        </w:tc>
      </w:tr>
      <w:tr w:rsidR="00553B31" w:rsidRPr="005000D3" w:rsidTr="00F769C2">
        <w:trPr>
          <w:cantSplit/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F769C2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Eredménytartalék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411 063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329</w:t>
            </w: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410</w:t>
            </w:r>
          </w:p>
        </w:tc>
      </w:tr>
      <w:tr w:rsidR="00553B31" w:rsidRPr="005000D3" w:rsidTr="00F769C2">
        <w:trPr>
          <w:cantSplit/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F769C2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Lekötött tartalék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002DCF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86 761</w:t>
            </w:r>
          </w:p>
        </w:tc>
      </w:tr>
      <w:tr w:rsidR="00553B31" w:rsidRPr="005000D3" w:rsidTr="00F769C2">
        <w:trPr>
          <w:cantSplit/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F769C2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Mérleg szerinti eredmény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11 968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002DCF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73 084</w:t>
            </w:r>
          </w:p>
        </w:tc>
      </w:tr>
      <w:tr w:rsidR="00553B31" w:rsidRPr="005000D3" w:rsidTr="00F769C2">
        <w:trPr>
          <w:cantSplit/>
          <w:trHeight w:val="247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553B31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030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894 596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3B31" w:rsidRPr="00303047" w:rsidRDefault="00002DCF" w:rsidP="0055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960 820</w:t>
            </w:r>
          </w:p>
        </w:tc>
      </w:tr>
    </w:tbl>
    <w:p w:rsidR="00575BBA" w:rsidRDefault="00575BBA" w:rsidP="00575BBA">
      <w:pPr>
        <w:rPr>
          <w:rFonts w:ascii="Times New Roman" w:hAnsi="Times New Roman"/>
          <w:sz w:val="24"/>
          <w:szCs w:val="24"/>
        </w:rPr>
      </w:pPr>
    </w:p>
    <w:p w:rsidR="00303047" w:rsidRDefault="00276940" w:rsidP="00303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jegyzett tőke mértéke </w:t>
      </w:r>
      <w:r w:rsidR="00B525C2" w:rsidRPr="002D6B0D">
        <w:rPr>
          <w:rFonts w:ascii="Times New Roman" w:hAnsi="Times New Roman"/>
          <w:bCs/>
          <w:sz w:val="24"/>
          <w:szCs w:val="24"/>
          <w:lang w:eastAsia="hu-HU"/>
        </w:rPr>
        <w:t>201</w:t>
      </w:r>
      <w:r w:rsidR="00303047">
        <w:rPr>
          <w:rFonts w:ascii="Times New Roman" w:hAnsi="Times New Roman"/>
          <w:bCs/>
          <w:sz w:val="24"/>
          <w:szCs w:val="24"/>
          <w:lang w:eastAsia="hu-HU"/>
        </w:rPr>
        <w:t>7</w:t>
      </w:r>
      <w:r w:rsidR="00B525C2" w:rsidRPr="002D6B0D">
        <w:rPr>
          <w:rFonts w:ascii="Times New Roman" w:hAnsi="Times New Roman"/>
          <w:bCs/>
          <w:sz w:val="24"/>
          <w:szCs w:val="24"/>
          <w:lang w:eastAsia="hu-HU"/>
        </w:rPr>
        <w:t>. évben</w:t>
      </w:r>
      <w:r w:rsidR="00E302C1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303047">
        <w:rPr>
          <w:rFonts w:ascii="Times New Roman" w:hAnsi="Times New Roman"/>
          <w:bCs/>
          <w:sz w:val="24"/>
          <w:szCs w:val="24"/>
          <w:lang w:eastAsia="hu-HU"/>
        </w:rPr>
        <w:t>v</w:t>
      </w:r>
      <w:r w:rsidR="00716AB2">
        <w:rPr>
          <w:rFonts w:ascii="Times New Roman" w:hAnsi="Times New Roman"/>
          <w:bCs/>
          <w:sz w:val="24"/>
          <w:szCs w:val="24"/>
          <w:lang w:eastAsia="hu-HU"/>
        </w:rPr>
        <w:t>áltozot</w:t>
      </w:r>
      <w:r w:rsidR="00E302C1">
        <w:rPr>
          <w:rFonts w:ascii="Times New Roman" w:hAnsi="Times New Roman"/>
          <w:bCs/>
          <w:sz w:val="24"/>
          <w:szCs w:val="24"/>
          <w:lang w:eastAsia="hu-HU"/>
        </w:rPr>
        <w:t>t</w:t>
      </w:r>
      <w:r w:rsidR="00303047">
        <w:rPr>
          <w:rFonts w:ascii="Times New Roman" w:hAnsi="Times New Roman"/>
          <w:bCs/>
          <w:sz w:val="24"/>
          <w:szCs w:val="24"/>
          <w:lang w:eastAsia="hu-HU"/>
        </w:rPr>
        <w:t xml:space="preserve"> 432 450 eFt összegre. A</w:t>
      </w:r>
      <w:r w:rsidR="00303047">
        <w:rPr>
          <w:rFonts w:ascii="Times New Roman" w:eastAsia="Times New Roman" w:hAnsi="Times New Roman"/>
          <w:sz w:val="24"/>
          <w:szCs w:val="24"/>
          <w:lang w:eastAsia="hu-HU"/>
        </w:rPr>
        <w:t xml:space="preserve"> Társaság jegyzett tőke emelési javaslatát Várpalota Város Önkormányzati Képviselő-testülete 212/2017. (XII.14.) képviselő-testületi határozatával fogadta el, nem pénzbeli vagyoni hozzájárulásként 142 809 eFt összegben. Időpontja 2017. december 19. a cégkivonaton történő bejegyzés kelte 2017. december 20.      </w:t>
      </w:r>
    </w:p>
    <w:p w:rsidR="00F769C2" w:rsidRDefault="00F769C2" w:rsidP="00575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kötelezettségek az alábbiak szerint alakultak 201</w:t>
      </w:r>
      <w:r w:rsidR="00002D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évben.</w:t>
      </w:r>
    </w:p>
    <w:tbl>
      <w:tblPr>
        <w:tblW w:w="908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8"/>
        <w:gridCol w:w="2754"/>
        <w:gridCol w:w="2602"/>
      </w:tblGrid>
      <w:tr w:rsidR="00F769C2" w:rsidRPr="00F769C2" w:rsidTr="00BF1FBF">
        <w:trPr>
          <w:jc w:val="center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69C2" w:rsidRPr="00F769C2" w:rsidRDefault="00F769C2" w:rsidP="00F769C2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69C2" w:rsidRPr="00F769C2" w:rsidRDefault="00E302C1" w:rsidP="00F769C2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201</w:t>
            </w:r>
            <w:r w:rsidR="00002DC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7</w:t>
            </w:r>
            <w:r w:rsidR="00F769C2" w:rsidRPr="00F769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. tény eFt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69C2" w:rsidRPr="00F769C2" w:rsidRDefault="00F769C2" w:rsidP="00E302C1">
            <w:pPr>
              <w:spacing w:after="0" w:line="36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201</w:t>
            </w:r>
            <w:r w:rsidR="00002DC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8</w:t>
            </w:r>
            <w:r w:rsidRPr="00F769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. tény eFt</w:t>
            </w:r>
          </w:p>
        </w:tc>
      </w:tr>
      <w:tr w:rsidR="00F769C2" w:rsidRPr="00F769C2" w:rsidTr="00BF1FBF">
        <w:trPr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69C2" w:rsidRPr="00F32350" w:rsidRDefault="00F769C2" w:rsidP="00F769C2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3235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Kötelezettségek: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69C2" w:rsidRPr="00F769C2" w:rsidRDefault="00F769C2" w:rsidP="00F769C2">
            <w:pPr>
              <w:spacing w:after="0" w:line="36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69C2" w:rsidRPr="00F769C2" w:rsidRDefault="00F769C2" w:rsidP="00F769C2">
            <w:pPr>
              <w:spacing w:after="0" w:line="360" w:lineRule="auto"/>
              <w:ind w:right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02DCF" w:rsidRPr="00F769C2" w:rsidTr="00BF1FBF">
        <w:trPr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CF" w:rsidRPr="00F769C2" w:rsidRDefault="00002DCF" w:rsidP="00002DCF">
            <w:pPr>
              <w:spacing w:after="0" w:line="36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>- Szállítók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>- Hosszú lejáratú hitel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>- Egyéb hosszú lejáratú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>kötelezettség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>- Rövid lejáratú hitelek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186 543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469 483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0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201 523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464 528</w:t>
            </w:r>
          </w:p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0 </w:t>
            </w:r>
          </w:p>
        </w:tc>
      </w:tr>
      <w:tr w:rsidR="00002DCF" w:rsidRPr="00F769C2" w:rsidTr="00BF1FBF">
        <w:trPr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CF" w:rsidRPr="00F769C2" w:rsidRDefault="00002DCF" w:rsidP="00002DCF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sz w:val="24"/>
                <w:szCs w:val="24"/>
                <w:lang w:eastAsia="hu-HU"/>
              </w:rPr>
              <w:t>- Egyéb kötelezettség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204 157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255 634</w:t>
            </w:r>
          </w:p>
        </w:tc>
      </w:tr>
      <w:tr w:rsidR="00002DCF" w:rsidRPr="00F769C2" w:rsidTr="00BF1FBF">
        <w:trPr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DCF" w:rsidRPr="00F769C2" w:rsidRDefault="00002DCF" w:rsidP="00002DCF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F769C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Kötelezettségek összesen: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860 183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2DCF" w:rsidRPr="00F769C2" w:rsidRDefault="00002DCF" w:rsidP="00002DCF">
            <w:pPr>
              <w:spacing w:after="0" w:line="360" w:lineRule="auto"/>
              <w:ind w:right="425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921 685</w:t>
            </w:r>
          </w:p>
        </w:tc>
      </w:tr>
    </w:tbl>
    <w:p w:rsidR="00575BBA" w:rsidRDefault="00575BBA" w:rsidP="00575BBA">
      <w:pPr>
        <w:rPr>
          <w:rFonts w:ascii="Times New Roman" w:hAnsi="Times New Roman"/>
          <w:sz w:val="24"/>
          <w:szCs w:val="24"/>
        </w:rPr>
      </w:pPr>
    </w:p>
    <w:p w:rsidR="00623A3C" w:rsidRPr="00B27372" w:rsidRDefault="00B27372" w:rsidP="00E60C0C">
      <w:pPr>
        <w:pStyle w:val="Cmsor3"/>
      </w:pPr>
      <w:bookmarkStart w:id="3" w:name="_Toc511392622"/>
      <w:r>
        <w:lastRenderedPageBreak/>
        <w:t xml:space="preserve">IV. </w:t>
      </w:r>
      <w:r w:rsidR="00D45B67" w:rsidRPr="00B27372">
        <w:t>Kutatás</w:t>
      </w:r>
      <w:r w:rsidR="001120DC">
        <w:t>,</w:t>
      </w:r>
      <w:r w:rsidR="00D45B67" w:rsidRPr="00B27372">
        <w:t xml:space="preserve"> fejlesztés</w:t>
      </w:r>
      <w:bookmarkEnd w:id="3"/>
    </w:p>
    <w:p w:rsidR="00E60C0C" w:rsidRDefault="00E60C0C" w:rsidP="00D45B67">
      <w:pPr>
        <w:rPr>
          <w:rFonts w:ascii="Times New Roman" w:hAnsi="Times New Roman"/>
          <w:sz w:val="24"/>
          <w:szCs w:val="24"/>
        </w:rPr>
      </w:pPr>
    </w:p>
    <w:p w:rsidR="00D45B67" w:rsidRDefault="00D45B67" w:rsidP="00D45B67">
      <w:pPr>
        <w:rPr>
          <w:rFonts w:ascii="Times New Roman" w:hAnsi="Times New Roman"/>
          <w:sz w:val="24"/>
          <w:szCs w:val="24"/>
        </w:rPr>
      </w:pPr>
      <w:r w:rsidRPr="00D45B67">
        <w:rPr>
          <w:rFonts w:ascii="Times New Roman" w:hAnsi="Times New Roman"/>
          <w:sz w:val="24"/>
          <w:szCs w:val="24"/>
        </w:rPr>
        <w:t>A Társaság saját kutatás-fejlesztési tevékenységet nem végez.</w:t>
      </w:r>
    </w:p>
    <w:p w:rsidR="00D45B67" w:rsidRDefault="00D45B67" w:rsidP="00D45B67">
      <w:pPr>
        <w:rPr>
          <w:rFonts w:ascii="Times New Roman" w:hAnsi="Times New Roman"/>
          <w:sz w:val="24"/>
          <w:szCs w:val="24"/>
        </w:rPr>
      </w:pPr>
    </w:p>
    <w:p w:rsidR="00D45B67" w:rsidRPr="00B27372" w:rsidRDefault="00B27372" w:rsidP="00E60C0C">
      <w:pPr>
        <w:pStyle w:val="Cmsor3"/>
      </w:pPr>
      <w:bookmarkStart w:id="4" w:name="_Toc511392623"/>
      <w:r>
        <w:t xml:space="preserve">V. </w:t>
      </w:r>
      <w:r w:rsidR="00D45B67" w:rsidRPr="00B27372">
        <w:t>A mérleg fordulónapja után bekövetkező lényeges események</w:t>
      </w:r>
      <w:bookmarkEnd w:id="4"/>
    </w:p>
    <w:p w:rsidR="00E60C0C" w:rsidRDefault="00E60C0C" w:rsidP="00D45B67">
      <w:pPr>
        <w:rPr>
          <w:rFonts w:ascii="Times New Roman" w:hAnsi="Times New Roman"/>
          <w:sz w:val="24"/>
          <w:szCs w:val="24"/>
        </w:rPr>
      </w:pPr>
    </w:p>
    <w:p w:rsidR="00304D43" w:rsidRDefault="008776D4" w:rsidP="00D45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45B67" w:rsidRPr="00D45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Társaság </w:t>
      </w:r>
      <w:r w:rsidR="00D45B67" w:rsidRPr="00D45B67">
        <w:rPr>
          <w:rFonts w:ascii="Times New Roman" w:hAnsi="Times New Roman"/>
          <w:sz w:val="24"/>
          <w:szCs w:val="24"/>
        </w:rPr>
        <w:t>tevékenység</w:t>
      </w:r>
      <w:r w:rsidR="00D45B67">
        <w:rPr>
          <w:rFonts w:ascii="Times New Roman" w:hAnsi="Times New Roman"/>
          <w:sz w:val="24"/>
          <w:szCs w:val="24"/>
        </w:rPr>
        <w:t xml:space="preserve">ében a mérlegforduló </w:t>
      </w:r>
      <w:r>
        <w:rPr>
          <w:rFonts w:ascii="Times New Roman" w:hAnsi="Times New Roman"/>
          <w:sz w:val="24"/>
          <w:szCs w:val="24"/>
        </w:rPr>
        <w:t>után lényeges gazdasági esemény nem történt.</w:t>
      </w:r>
    </w:p>
    <w:p w:rsidR="002710FB" w:rsidRDefault="002710FB" w:rsidP="00D45B67">
      <w:pPr>
        <w:rPr>
          <w:rFonts w:ascii="Times New Roman" w:hAnsi="Times New Roman"/>
          <w:b/>
          <w:sz w:val="24"/>
          <w:szCs w:val="24"/>
        </w:rPr>
      </w:pPr>
    </w:p>
    <w:p w:rsidR="00304D43" w:rsidRDefault="00304D43" w:rsidP="00E60C0C">
      <w:pPr>
        <w:pStyle w:val="Cmsor3"/>
      </w:pPr>
      <w:bookmarkStart w:id="5" w:name="_Toc511392624"/>
      <w:r w:rsidRPr="00E60C0C">
        <w:t>VI. Pénzügyi helyzet</w:t>
      </w:r>
      <w:bookmarkEnd w:id="5"/>
    </w:p>
    <w:p w:rsidR="00CC01C5" w:rsidRPr="00CC01C5" w:rsidRDefault="00CC01C5" w:rsidP="00CC01C5"/>
    <w:p w:rsidR="00D45B67" w:rsidRDefault="008776D4" w:rsidP="00D45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4D43">
        <w:rPr>
          <w:rFonts w:ascii="Times New Roman" w:hAnsi="Times New Roman"/>
          <w:sz w:val="24"/>
          <w:szCs w:val="24"/>
        </w:rPr>
        <w:t>A Társaság pénzügyi helyzetét és likviditását az alábbi pénzügyi mutatók szemléltetik:</w:t>
      </w:r>
    </w:p>
    <w:p w:rsidR="00304D43" w:rsidRDefault="00304D43" w:rsidP="00D45B67">
      <w:pPr>
        <w:rPr>
          <w:rFonts w:ascii="Times New Roman" w:hAnsi="Times New Roman"/>
          <w:sz w:val="24"/>
          <w:szCs w:val="24"/>
        </w:rPr>
      </w:pP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.) Eladósodottság 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860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921</w:t>
      </w:r>
      <w:r w:rsidR="00FE2D2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685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(kötelezettség/saját tőke)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96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 w:rsidR="00FE2D2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 w:rsidR="00FE2D2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.) Eladósodottság II.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04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224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592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125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(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kötelezettség-követelés/saját tőke)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=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67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1120DC"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:rsidR="002710FB" w:rsidRPr="00FB73CF" w:rsidRDefault="002710FB" w:rsidP="002710F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Default="002710FB" w:rsidP="00374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.) Likviditási mutató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(forgóeszköz/kötelezettség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99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413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707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684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---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=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%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76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860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183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921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685</w:t>
      </w:r>
    </w:p>
    <w:p w:rsidR="00304D43" w:rsidRDefault="00304D43" w:rsidP="00D45B67">
      <w:pPr>
        <w:rPr>
          <w:rFonts w:ascii="Times New Roman" w:hAnsi="Times New Roman"/>
          <w:sz w:val="24"/>
          <w:szCs w:val="24"/>
        </w:rPr>
      </w:pPr>
    </w:p>
    <w:p w:rsidR="002710FB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4.)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Készpénz l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ikviditási mutató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710FB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(pénzeszközök/ rövid lejáratú kötelezettség)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CC01C5">
        <w:rPr>
          <w:rFonts w:ascii="Times New Roman" w:eastAsia="Times New Roman" w:hAnsi="Times New Roman"/>
          <w:sz w:val="24"/>
          <w:szCs w:val="24"/>
          <w:lang w:eastAsia="hu-HU"/>
        </w:rPr>
        <w:t>23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362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171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---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0,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59</w:t>
      </w:r>
      <w:r w:rsidR="00556A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0,</w:t>
      </w:r>
      <w:r w:rsidR="00F80633">
        <w:rPr>
          <w:rFonts w:ascii="Times New Roman" w:eastAsia="Times New Roman" w:hAnsi="Times New Roman"/>
          <w:sz w:val="24"/>
          <w:szCs w:val="24"/>
          <w:lang w:eastAsia="hu-HU"/>
        </w:rPr>
        <w:t>79</w:t>
      </w:r>
    </w:p>
    <w:p w:rsidR="002710FB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3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90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700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457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2DCF">
        <w:rPr>
          <w:rFonts w:ascii="Times New Roman" w:eastAsia="Times New Roman" w:hAnsi="Times New Roman"/>
          <w:sz w:val="24"/>
          <w:szCs w:val="24"/>
          <w:lang w:eastAsia="hu-HU"/>
        </w:rPr>
        <w:t>157</w:t>
      </w:r>
    </w:p>
    <w:p w:rsidR="00374BDC" w:rsidRDefault="00374BDC" w:rsidP="00374BDC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74BDC" w:rsidRDefault="001120DC" w:rsidP="00374BDC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Társaság pénzügyi fizető képessége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 xml:space="preserve"> stabilnak tekinthető. Folyamatosan és a fizetési határidő betartásával történik </w:t>
      </w:r>
      <w:r w:rsidR="00002DCF">
        <w:rPr>
          <w:rFonts w:ascii="Times New Roman" w:hAnsi="Times New Roman"/>
          <w:sz w:val="24"/>
          <w:szCs w:val="24"/>
          <w:lang w:eastAsia="hu-HU"/>
        </w:rPr>
        <w:t>a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 xml:space="preserve"> pénzügyi lízingdíj törlesztése. A Társaság likviditási helyzeté</w:t>
      </w:r>
      <w:r w:rsidR="00374BDC">
        <w:rPr>
          <w:rFonts w:ascii="Times New Roman" w:hAnsi="Times New Roman"/>
          <w:sz w:val="24"/>
          <w:szCs w:val="24"/>
          <w:lang w:eastAsia="hu-HU"/>
        </w:rPr>
        <w:t>t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="00374BDC">
        <w:rPr>
          <w:rFonts w:ascii="Times New Roman" w:hAnsi="Times New Roman"/>
          <w:sz w:val="24"/>
          <w:szCs w:val="24"/>
          <w:lang w:eastAsia="hu-HU"/>
        </w:rPr>
        <w:t xml:space="preserve">z OTP Bank </w:t>
      </w:r>
      <w:proofErr w:type="spellStart"/>
      <w:r w:rsidR="00374BDC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374BDC">
        <w:rPr>
          <w:rFonts w:ascii="Times New Roman" w:hAnsi="Times New Roman"/>
          <w:sz w:val="24"/>
          <w:szCs w:val="24"/>
          <w:lang w:eastAsia="hu-HU"/>
        </w:rPr>
        <w:t>-nél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="00002DCF">
        <w:rPr>
          <w:rFonts w:ascii="Times New Roman" w:hAnsi="Times New Roman"/>
          <w:sz w:val="24"/>
          <w:szCs w:val="24"/>
          <w:lang w:eastAsia="hu-HU"/>
        </w:rPr>
        <w:t>5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>0</w:t>
      </w:r>
      <w:r w:rsidR="00374BDC">
        <w:rPr>
          <w:rFonts w:ascii="Times New Roman" w:hAnsi="Times New Roman"/>
          <w:sz w:val="24"/>
          <w:szCs w:val="24"/>
          <w:lang w:eastAsia="hu-HU"/>
        </w:rPr>
        <w:t> 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>000</w:t>
      </w:r>
      <w:r w:rsidR="00374BDC">
        <w:rPr>
          <w:rFonts w:ascii="Times New Roman" w:hAnsi="Times New Roman"/>
          <w:sz w:val="24"/>
          <w:szCs w:val="24"/>
          <w:lang w:eastAsia="hu-HU"/>
        </w:rPr>
        <w:t> </w:t>
      </w:r>
      <w:r w:rsidR="00203C14">
        <w:rPr>
          <w:rFonts w:ascii="Times New Roman" w:hAnsi="Times New Roman"/>
          <w:sz w:val="24"/>
          <w:szCs w:val="24"/>
          <w:lang w:eastAsia="hu-HU"/>
        </w:rPr>
        <w:t>e</w:t>
      </w:r>
      <w:r w:rsidR="00374BDC">
        <w:rPr>
          <w:rFonts w:ascii="Times New Roman" w:hAnsi="Times New Roman"/>
          <w:sz w:val="24"/>
          <w:szCs w:val="24"/>
          <w:lang w:eastAsia="hu-HU"/>
        </w:rPr>
        <w:t xml:space="preserve">Ft, </w:t>
      </w:r>
      <w:r w:rsidR="00203C14">
        <w:rPr>
          <w:rFonts w:ascii="Times New Roman" w:hAnsi="Times New Roman"/>
          <w:sz w:val="24"/>
          <w:szCs w:val="24"/>
          <w:lang w:eastAsia="hu-HU"/>
        </w:rPr>
        <w:t>a Kereskedelmi és Hitelbanknál 3</w:t>
      </w:r>
      <w:r w:rsidR="00374BDC">
        <w:rPr>
          <w:rFonts w:ascii="Times New Roman" w:hAnsi="Times New Roman"/>
          <w:sz w:val="24"/>
          <w:szCs w:val="24"/>
          <w:lang w:eastAsia="hu-HU"/>
        </w:rPr>
        <w:t>8 700 </w:t>
      </w:r>
      <w:r w:rsidR="00203C14">
        <w:rPr>
          <w:rFonts w:ascii="Times New Roman" w:hAnsi="Times New Roman"/>
          <w:sz w:val="24"/>
          <w:szCs w:val="24"/>
          <w:lang w:eastAsia="hu-HU"/>
        </w:rPr>
        <w:t>e</w:t>
      </w:r>
      <w:r w:rsidR="00374BDC">
        <w:rPr>
          <w:rFonts w:ascii="Times New Roman" w:hAnsi="Times New Roman"/>
          <w:sz w:val="24"/>
          <w:szCs w:val="24"/>
          <w:lang w:eastAsia="hu-HU"/>
        </w:rPr>
        <w:t>Ft</w:t>
      </w:r>
      <w:r w:rsidR="00374BDC" w:rsidRPr="00453A06">
        <w:rPr>
          <w:rFonts w:ascii="Times New Roman" w:hAnsi="Times New Roman"/>
          <w:sz w:val="24"/>
          <w:szCs w:val="24"/>
          <w:lang w:eastAsia="hu-HU"/>
        </w:rPr>
        <w:t xml:space="preserve"> átmeneti likviditási problémák kezelését szolgáló folyószámla</w:t>
      </w:r>
      <w:r w:rsidR="00374BDC">
        <w:rPr>
          <w:rFonts w:ascii="Times New Roman" w:hAnsi="Times New Roman"/>
          <w:sz w:val="24"/>
          <w:szCs w:val="24"/>
          <w:lang w:eastAsia="hu-HU"/>
        </w:rPr>
        <w:t xml:space="preserve">hitel segítségével </w:t>
      </w:r>
      <w:r>
        <w:rPr>
          <w:rFonts w:ascii="Times New Roman" w:hAnsi="Times New Roman"/>
          <w:sz w:val="24"/>
          <w:szCs w:val="24"/>
          <w:lang w:eastAsia="hu-HU"/>
        </w:rPr>
        <w:t>biztosítja</w:t>
      </w:r>
      <w:r w:rsidR="00374BDC">
        <w:rPr>
          <w:rFonts w:ascii="Times New Roman" w:hAnsi="Times New Roman"/>
          <w:sz w:val="24"/>
          <w:szCs w:val="24"/>
          <w:lang w:eastAsia="hu-HU"/>
        </w:rPr>
        <w:t>.</w:t>
      </w:r>
      <w:r w:rsidR="009F722B">
        <w:rPr>
          <w:rFonts w:ascii="Times New Roman" w:hAnsi="Times New Roman"/>
          <w:sz w:val="24"/>
          <w:szCs w:val="24"/>
          <w:lang w:eastAsia="hu-HU"/>
        </w:rPr>
        <w:t xml:space="preserve"> A Társaság </w:t>
      </w:r>
      <w:r w:rsidR="009F722B">
        <w:rPr>
          <w:rFonts w:ascii="Times New Roman" w:hAnsi="Times New Roman"/>
          <w:sz w:val="24"/>
          <w:szCs w:val="24"/>
          <w:lang w:eastAsia="hu-HU"/>
        </w:rPr>
        <w:lastRenderedPageBreak/>
        <w:t>gazdálkodásában a kockázatot a szolgáltatásokat igénybe vevő ügyfelek fizetési hajlandósága és képessége jelenti.</w:t>
      </w:r>
      <w:r w:rsidR="00D20343">
        <w:rPr>
          <w:rFonts w:ascii="Times New Roman" w:hAnsi="Times New Roman"/>
          <w:sz w:val="24"/>
          <w:szCs w:val="24"/>
          <w:lang w:eastAsia="hu-HU"/>
        </w:rPr>
        <w:t xml:space="preserve"> Kiemelt figyelmet fordítunk a Társaság likviditásának megőrzése érdekében a követeléskezelésre, és a kötelezettségeink folyamatos és határidőben történő teljesítésére.</w:t>
      </w:r>
    </w:p>
    <w:p w:rsidR="000B73B0" w:rsidRPr="00453A06" w:rsidRDefault="000B73B0" w:rsidP="00374BDC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10FB" w:rsidRDefault="002710FB" w:rsidP="00E60C0C">
      <w:pPr>
        <w:pStyle w:val="Cmsor3"/>
      </w:pPr>
      <w:bookmarkStart w:id="6" w:name="_Toc511392625"/>
      <w:r w:rsidRPr="002710FB">
        <w:t>VII. A vagyoni helyzet és tőkeszerkezet alakulása</w:t>
      </w:r>
      <w:bookmarkEnd w:id="6"/>
    </w:p>
    <w:p w:rsidR="000B73B0" w:rsidRPr="000B73B0" w:rsidRDefault="000B73B0" w:rsidP="000B73B0"/>
    <w:p w:rsidR="00374BDC" w:rsidRDefault="002710FB" w:rsidP="00D45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vagyoni helyzetét és tőkeszerkezetét az alábbi pénzügyi mutatók szemléltetik: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1.) Befektetett eszközök aránya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267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057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B73B0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64A70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88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001</w:t>
      </w:r>
    </w:p>
    <w:p w:rsidR="002710FB" w:rsidRPr="00FB73CF" w:rsidRDefault="002710FB" w:rsidP="002710F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---------------- = </w:t>
      </w:r>
      <w:r w:rsidR="00264A70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9,0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 w:rsidR="001360EA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1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836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057</w:t>
      </w:r>
      <w:r w:rsidR="001120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746</w:t>
      </w: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2.) Forgóeszközök aránya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360EA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99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413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707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684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---------------- =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:rsidR="002710FB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1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836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057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746</w:t>
      </w:r>
    </w:p>
    <w:p w:rsidR="002710FB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0FB" w:rsidRPr="00FB73CF" w:rsidRDefault="002710FB" w:rsidP="002710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3.) Saját tőke aránya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960 820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 w:rsidR="00264A70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--------------- = </w:t>
      </w:r>
      <w:r w:rsidR="00FF4D2B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FF4D2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64A70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:rsidR="002710FB" w:rsidRPr="00FB73CF" w:rsidRDefault="002710FB" w:rsidP="002710F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1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836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057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746</w:t>
      </w:r>
    </w:p>
    <w:p w:rsidR="002710FB" w:rsidRDefault="002710FB" w:rsidP="00D45B67">
      <w:pPr>
        <w:rPr>
          <w:rFonts w:ascii="Times New Roman" w:hAnsi="Times New Roman"/>
          <w:sz w:val="24"/>
          <w:szCs w:val="24"/>
        </w:rPr>
      </w:pPr>
    </w:p>
    <w:p w:rsidR="00374BDC" w:rsidRPr="00FB73CF" w:rsidRDefault="00374BDC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.) Saját tőke növekedése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:rsidR="00374BDC" w:rsidRPr="00FB73CF" w:rsidRDefault="00374BDC" w:rsidP="00374BDC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07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:rsidR="00374BDC" w:rsidRDefault="00374BDC" w:rsidP="00374BD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739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819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B1137E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 w:rsidR="009861BA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E7448">
        <w:rPr>
          <w:rFonts w:ascii="Times New Roman" w:eastAsia="Times New Roman" w:hAnsi="Times New Roman"/>
          <w:sz w:val="24"/>
          <w:szCs w:val="24"/>
          <w:lang w:eastAsia="hu-HU"/>
        </w:rPr>
        <w:t>596</w:t>
      </w:r>
    </w:p>
    <w:p w:rsidR="009861BA" w:rsidRDefault="009861BA" w:rsidP="00374BD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61BA" w:rsidRPr="00FB73CF" w:rsidRDefault="009861BA" w:rsidP="00374BD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BDC" w:rsidRPr="00374BDC" w:rsidRDefault="00374BDC" w:rsidP="00E60C0C">
      <w:pPr>
        <w:pStyle w:val="Cmsor3"/>
        <w:rPr>
          <w:lang w:eastAsia="hu-HU"/>
        </w:rPr>
      </w:pPr>
      <w:bookmarkStart w:id="7" w:name="_Toc511392626"/>
      <w:r w:rsidRPr="00374BDC">
        <w:rPr>
          <w:lang w:eastAsia="hu-HU"/>
        </w:rPr>
        <w:t>VIII. Környezetvédelem</w:t>
      </w:r>
      <w:bookmarkEnd w:id="7"/>
    </w:p>
    <w:p w:rsidR="00374BDC" w:rsidRDefault="00374BDC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861BA" w:rsidRDefault="009861BA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C5B" w:rsidRDefault="00D42C5B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 elkötelezettje a fenntartható fejlődésnek a környezeti teljesítés folyamatos javításának, a jogi és egyéb környezeti követelmények teljesítésének.</w:t>
      </w:r>
    </w:p>
    <w:p w:rsidR="00D42C5B" w:rsidRDefault="00D42C5B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4BDC" w:rsidRPr="00FB73CF" w:rsidRDefault="00374BDC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a jogszabályi előírásoknak megfelelően a tevékenysége során keletkező veszélyes hulladékokat előírás szerinti gyűjti, egy évnél tovább nem tárolja.</w:t>
      </w:r>
    </w:p>
    <w:p w:rsidR="00374BDC" w:rsidRDefault="00374BDC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A termékdíjas anyagok hulladékait (olaj, akkumulátor) a szállító cég szerződéses feljogosított partnere díjmentesen elszállítja. Az egyéb veszélyes hulladékokat (festékes göngyöleg és szennyezett textilanyag, homokfogó iszap)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Társaság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a hulladék kezelésére és ártalmatlanítására engedéllyel rendelkező cégnek adja át. Ezen hulladékok szabályszerű ártalmatlanítása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Társaságnak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 w:rsidR="00203C14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B62632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203C14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székhely vízforgató és víztisztító berendezéséből származó olajos iszap elszállítása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révén </w:t>
      </w:r>
      <w:r w:rsidR="00B62632">
        <w:rPr>
          <w:rFonts w:ascii="Times New Roman" w:eastAsia="Times New Roman" w:hAnsi="Times New Roman"/>
          <w:sz w:val="24"/>
          <w:szCs w:val="24"/>
          <w:lang w:eastAsia="hu-HU"/>
        </w:rPr>
        <w:t>364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eFt</w:t>
      </w:r>
      <w:r w:rsidR="00ED3BAD">
        <w:rPr>
          <w:rFonts w:ascii="Times New Roman" w:eastAsia="Times New Roman" w:hAnsi="Times New Roman"/>
          <w:sz w:val="24"/>
          <w:szCs w:val="24"/>
          <w:lang w:eastAsia="hu-HU"/>
        </w:rPr>
        <w:t xml:space="preserve"> költséget eredményezett. </w:t>
      </w:r>
      <w:r w:rsidR="00B6263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ED3B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62632">
        <w:rPr>
          <w:rFonts w:ascii="Times New Roman" w:eastAsia="Times New Roman" w:hAnsi="Times New Roman"/>
          <w:sz w:val="24"/>
          <w:szCs w:val="24"/>
          <w:lang w:eastAsia="hu-HU"/>
        </w:rPr>
        <w:t xml:space="preserve">Társaság </w:t>
      </w:r>
      <w:r w:rsidR="000B73B0">
        <w:rPr>
          <w:rFonts w:ascii="Times New Roman" w:eastAsia="Times New Roman" w:hAnsi="Times New Roman"/>
          <w:sz w:val="24"/>
          <w:szCs w:val="24"/>
          <w:lang w:eastAsia="hu-HU"/>
        </w:rPr>
        <w:t>székhelyén</w:t>
      </w:r>
      <w:r w:rsidR="00ED3BAD">
        <w:rPr>
          <w:rFonts w:ascii="Times New Roman" w:eastAsia="Times New Roman" w:hAnsi="Times New Roman"/>
          <w:sz w:val="24"/>
          <w:szCs w:val="24"/>
          <w:lang w:eastAsia="hu-HU"/>
        </w:rPr>
        <w:t xml:space="preserve"> keletkezett fénycső hulladék és veszélyes anyaggal szennyezett </w:t>
      </w:r>
      <w:r w:rsidR="000B73B0">
        <w:rPr>
          <w:rFonts w:ascii="Times New Roman" w:eastAsia="Times New Roman" w:hAnsi="Times New Roman"/>
          <w:sz w:val="24"/>
          <w:szCs w:val="24"/>
          <w:lang w:eastAsia="hu-HU"/>
        </w:rPr>
        <w:t>éghető</w:t>
      </w:r>
      <w:r w:rsidR="00ED3BAD">
        <w:rPr>
          <w:rFonts w:ascii="Times New Roman" w:eastAsia="Times New Roman" w:hAnsi="Times New Roman"/>
          <w:sz w:val="24"/>
          <w:szCs w:val="24"/>
          <w:lang w:eastAsia="hu-HU"/>
        </w:rPr>
        <w:t xml:space="preserve"> csomagolási hulladék ártalmatlanítási </w:t>
      </w:r>
      <w:r w:rsidR="00ED3BAD" w:rsidRPr="00FB73CF">
        <w:rPr>
          <w:rFonts w:ascii="Times New Roman" w:eastAsia="Times New Roman" w:hAnsi="Times New Roman"/>
          <w:sz w:val="24"/>
          <w:szCs w:val="24"/>
          <w:lang w:eastAsia="hu-HU"/>
        </w:rPr>
        <w:t>költsége</w:t>
      </w:r>
      <w:r w:rsidR="00ED3B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62632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0B73B0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ED3BAD">
        <w:rPr>
          <w:rFonts w:ascii="Times New Roman" w:eastAsia="Times New Roman" w:hAnsi="Times New Roman"/>
          <w:sz w:val="24"/>
          <w:szCs w:val="24"/>
          <w:lang w:eastAsia="hu-HU"/>
        </w:rPr>
        <w:t xml:space="preserve"> eFt volt</w:t>
      </w:r>
      <w:r w:rsidR="00ED3BAD" w:rsidRPr="00FB73C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A0C84" w:rsidRDefault="00AA0C84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0C84" w:rsidRDefault="00AA0C84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Távhőszolgáltatási tevékenység kapcsán üzemeltetett két fűtőmű pontforrás mérését évente hitelesítve akkreditációval rendelkező szakemberrel el kell végeztetni.</w:t>
      </w:r>
    </w:p>
    <w:p w:rsidR="00AA0C84" w:rsidRDefault="00AA0C84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C5B" w:rsidRDefault="00AA0C84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hulladékgazdálkodási tevékenység kapcsán a bezárt, nem üzemelő hulladéklerakón létesített 6 monitoring kútnál negyedévente vízmintavételt kell vetetni akkreditált szakemberrel, és a mérési jegyzőkönyvek alapján éves jelentést kell készíteni a Környezetvédelmi felügyelőség részére.</w:t>
      </w:r>
      <w:r w:rsidR="00D42C5B">
        <w:rPr>
          <w:rFonts w:ascii="Times New Roman" w:eastAsia="Times New Roman" w:hAnsi="Times New Roman"/>
          <w:sz w:val="24"/>
          <w:szCs w:val="24"/>
          <w:lang w:eastAsia="hu-HU"/>
        </w:rPr>
        <w:t xml:space="preserve"> A hulladéklerakón létesített 13 gáz monitoring kútnál évente mintavétel elemzést szükséges végeztetni akkreditált szakemberrel. A mérés eredményét szintén a Környezetvédelmi felügyelőség részére jelentés formájában küldjük meg. A bezárt hulladéklerakó rekultivált területét határoló övárokból negyedéves mintavételt szükséges végeztetni és a Tulajdonos Önkormányzat a mérési adatokat továbbítja a Környezetvédelmi felügyelőség részére.</w:t>
      </w:r>
    </w:p>
    <w:p w:rsidR="00D42C5B" w:rsidRDefault="00D42C5B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2C5B" w:rsidRPr="00FB73CF" w:rsidRDefault="009F722B" w:rsidP="00374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 hulladékgazdálkodási tevékenysége kapcsán a környezettudatos elkötelezett gondolkodásmód általánossá tételével igyekszik bővíteni a szelektív hulladékgyűjtés mind szélesebb körben történő elterjesztésével a hulladék újra</w:t>
      </w:r>
      <w:r w:rsidR="00A308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felhasználás, a hulladék másodlagos, anyagában történő felhasználásának folyamatos növelését.  </w:t>
      </w:r>
    </w:p>
    <w:p w:rsidR="009861BA" w:rsidRDefault="009861BA" w:rsidP="009861BA"/>
    <w:p w:rsidR="009861BA" w:rsidRDefault="009861BA" w:rsidP="009861BA"/>
    <w:p w:rsidR="00CA6473" w:rsidRDefault="00374BDC" w:rsidP="00E60C0C">
      <w:pPr>
        <w:pStyle w:val="Cmsor3"/>
      </w:pPr>
      <w:bookmarkStart w:id="8" w:name="_Toc511392627"/>
      <w:r>
        <w:t>IX</w:t>
      </w:r>
      <w:r w:rsidR="00575BBA">
        <w:t xml:space="preserve">. </w:t>
      </w:r>
      <w:r w:rsidR="00CA6473" w:rsidRPr="00575BBA">
        <w:t>Jövőkép</w:t>
      </w:r>
      <w:bookmarkEnd w:id="8"/>
    </w:p>
    <w:p w:rsidR="009861BA" w:rsidRPr="00E60C0C" w:rsidRDefault="009861BA" w:rsidP="00E60C0C"/>
    <w:p w:rsidR="00262B9C" w:rsidRDefault="00262B9C" w:rsidP="00262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Társaság elkészítette 201</w:t>
      </w:r>
      <w:r w:rsidR="00B62632">
        <w:rPr>
          <w:rFonts w:ascii="Times-Roman" w:hAnsi="Times-Roman" w:cs="Times-Roman"/>
          <w:sz w:val="24"/>
          <w:szCs w:val="24"/>
        </w:rPr>
        <w:t>9</w:t>
      </w:r>
      <w:r>
        <w:rPr>
          <w:rFonts w:ascii="Times-Roman" w:hAnsi="Times-Roman" w:cs="Times-Roman"/>
          <w:sz w:val="24"/>
          <w:szCs w:val="24"/>
        </w:rPr>
        <w:t xml:space="preserve">. évi üzleti tervét. </w:t>
      </w:r>
      <w:r w:rsidRPr="00A64A0A">
        <w:rPr>
          <w:rFonts w:ascii="Times New Roman" w:hAnsi="Times New Roman"/>
          <w:sz w:val="24"/>
          <w:szCs w:val="24"/>
        </w:rPr>
        <w:t>A 201</w:t>
      </w:r>
      <w:r w:rsidR="00B62632">
        <w:rPr>
          <w:rFonts w:ascii="Times New Roman" w:hAnsi="Times New Roman"/>
          <w:sz w:val="24"/>
          <w:szCs w:val="24"/>
        </w:rPr>
        <w:t>9</w:t>
      </w:r>
      <w:r w:rsidRPr="00A64A0A">
        <w:rPr>
          <w:rFonts w:ascii="Times New Roman" w:hAnsi="Times New Roman"/>
          <w:sz w:val="24"/>
          <w:szCs w:val="24"/>
        </w:rPr>
        <w:t>. évi üzleti tervben feltüntetett terv adatok a tervkészítés időpontjában rendelkezésre álló információk alapján kerültek meghatározásra. A piaci környezet és a jogszabályi változások hatására az évközi módosulások az elmúlt időszak tapasztalatai alapján jelentősen eltéríthetik a tervszámokat.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B9C" w:rsidRDefault="00262B9C" w:rsidP="00262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Üzleti tervének melléklete a Beruházási terv, amely a jelenlegi inform</w:t>
      </w:r>
      <w:r w:rsidR="00203C14">
        <w:rPr>
          <w:rFonts w:ascii="Times New Roman" w:hAnsi="Times New Roman"/>
          <w:sz w:val="24"/>
          <w:szCs w:val="24"/>
        </w:rPr>
        <w:t>ációink alapján bemutatja a 201</w:t>
      </w:r>
      <w:r w:rsidR="00B626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évben a tevékenység ellátását biztosító fejlesztéseket, beszerzéseket. A fejlesztések jelentős hányada a Társaság meghatározó tevékenységét, a távhő termelési és szolgáltatási tevékenységét szolgálják azzal a céllal, hogy fenntartsa a szolgáltatás üzembiztonságát és folyamatos működését, a felhasználói igények változásának minőségi kielégítésének növelésével.</w:t>
      </w:r>
    </w:p>
    <w:p w:rsidR="00262B9C" w:rsidRDefault="00262B9C" w:rsidP="00262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 eredménykimutatásban bemutatjuk az előző év tény számaival a tervszámokat a beszámoló szerinti tagolásban. A terv negyedéves bontásban szerepel, és adatok ezer forintban szerepelnek.</w:t>
      </w:r>
    </w:p>
    <w:p w:rsidR="00262B9C" w:rsidRDefault="00262B9C" w:rsidP="00262B9C">
      <w:pPr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26"/>
        <w:gridCol w:w="147"/>
        <w:gridCol w:w="1028"/>
        <w:gridCol w:w="992"/>
        <w:gridCol w:w="1244"/>
        <w:gridCol w:w="1108"/>
        <w:gridCol w:w="967"/>
        <w:gridCol w:w="1036"/>
      </w:tblGrid>
      <w:tr w:rsidR="0085552F" w:rsidRPr="00AF7CE3" w:rsidTr="0085552F">
        <w:trPr>
          <w:trHeight w:val="841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Adatok eFt-ban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552F" w:rsidRDefault="0085552F" w:rsidP="00E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552F" w:rsidRDefault="0085552F" w:rsidP="0085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85552F" w:rsidRDefault="0085552F" w:rsidP="0085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2018. év tény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5552F" w:rsidRPr="006320F6" w:rsidRDefault="0085552F" w:rsidP="00E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 1. negyedév terv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85552F" w:rsidRPr="00AF7CE3" w:rsidRDefault="0085552F" w:rsidP="00E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 2. negyedév terv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 3. negyedév terv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 4. negyedév terv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85552F" w:rsidRPr="00AF7CE3" w:rsidRDefault="0085552F" w:rsidP="00E5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 év terv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01.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Belföldi értékesítés nettó árbevétele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B56E3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B56E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1 43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Pr="00B56E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Pr="00B56E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389 511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373 782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337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007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448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743</w:t>
            </w:r>
          </w:p>
        </w:tc>
      </w:tr>
      <w:tr w:rsidR="0085552F" w:rsidRPr="00AF7CE3" w:rsidTr="0085552F">
        <w:trPr>
          <w:trHeight w:hRule="exact" w:val="436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02.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Export értékesítés nettó árbevétele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51001E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lastRenderedPageBreak/>
              <w:t>I.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Értékesítés nettó árbevétele (01+02)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51001E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1 43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89</w:t>
            </w: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511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73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337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007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743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03.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Saját termelésű készletek állományváltozása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B56E3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B56E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1 091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1 565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2 665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1 000</w:t>
            </w:r>
          </w:p>
        </w:tc>
      </w:tr>
      <w:tr w:rsidR="0085552F" w:rsidRPr="00AF7CE3" w:rsidTr="0085552F">
        <w:trPr>
          <w:trHeight w:val="136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04.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Saját előállítású eszközök aktivált értéke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B56E3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B56E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Pr="00B56E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054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4 75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II.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Aktivált saját teljesítmények értéke (± 03+04)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51001E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1 565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22 500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665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III.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Egyéb bevételek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51001E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Pr="005100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069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117</w:t>
            </w: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526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404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434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857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400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221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05.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Anyagköltség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</w:t>
            </w: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007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129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765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253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626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514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06.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Igénybe vett szolgáltatások értéke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483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248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788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07.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Egyéb szolgáltatások értéke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23 8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7 138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878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913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08.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Eladott áruk beszerzési értéke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24 340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</w:t>
            </w: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100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09.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Eladott (közvetített) szolgáltatások értéke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2 0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3 700</w:t>
            </w:r>
          </w:p>
        </w:tc>
      </w:tr>
      <w:tr w:rsidR="0085552F" w:rsidRPr="00AF7CE3" w:rsidTr="0085552F">
        <w:trPr>
          <w:trHeight w:hRule="exact" w:val="378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IV.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Anyagjellegű ráfordítások (05+06+07+08+09)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85</w:t>
            </w:r>
            <w:r w:rsidRPr="006432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327</w:t>
            </w: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027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348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1 06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519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10.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Bérköltség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384 000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</w:t>
            </w: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456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453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934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D0CECE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11.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D0CECE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Személyi jellegű egyéb kifizetések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0CECE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D0CECE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92 161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D0CECE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D0CECE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D0CECE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D0CECE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D0CECE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001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single" w:sz="8" w:space="0" w:color="D0CECE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12.</w:t>
            </w:r>
          </w:p>
        </w:tc>
        <w:tc>
          <w:tcPr>
            <w:tcW w:w="1119" w:type="pct"/>
            <w:tcBorders>
              <w:top w:val="single" w:sz="8" w:space="0" w:color="D0CECE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Bérjárulékok</w:t>
            </w:r>
          </w:p>
        </w:tc>
        <w:tc>
          <w:tcPr>
            <w:tcW w:w="81" w:type="pct"/>
            <w:tcBorders>
              <w:top w:val="single" w:sz="8" w:space="0" w:color="D0CECE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single" w:sz="8" w:space="0" w:color="D0CECE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85 551</w:t>
            </w:r>
          </w:p>
        </w:tc>
        <w:tc>
          <w:tcPr>
            <w:tcW w:w="548" w:type="pct"/>
            <w:tcBorders>
              <w:top w:val="single" w:sz="8" w:space="0" w:color="D0CECE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  <w:r w:rsidRPr="00632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687" w:type="pct"/>
            <w:tcBorders>
              <w:top w:val="single" w:sz="8" w:space="0" w:color="D0CECE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022</w:t>
            </w:r>
          </w:p>
        </w:tc>
        <w:tc>
          <w:tcPr>
            <w:tcW w:w="612" w:type="pct"/>
            <w:tcBorders>
              <w:top w:val="single" w:sz="8" w:space="0" w:color="D0CECE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534" w:type="pct"/>
            <w:tcBorders>
              <w:top w:val="single" w:sz="8" w:space="0" w:color="D0CECE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572" w:type="pct"/>
            <w:tcBorders>
              <w:top w:val="single" w:sz="8" w:space="0" w:color="D0CECE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353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V.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Személyi jellegű ráfordítások (10+11+12)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561 71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54</w:t>
            </w: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606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461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630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288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dotted" w:sz="4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VI.</w:t>
            </w:r>
          </w:p>
        </w:tc>
        <w:tc>
          <w:tcPr>
            <w:tcW w:w="1119" w:type="pct"/>
            <w:tcBorders>
              <w:top w:val="dotted" w:sz="4" w:space="0" w:color="808080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Értékcsökkenési leírás</w:t>
            </w:r>
          </w:p>
        </w:tc>
        <w:tc>
          <w:tcPr>
            <w:tcW w:w="81" w:type="pct"/>
            <w:tcBorders>
              <w:top w:val="dotted" w:sz="4" w:space="0" w:color="808080"/>
              <w:left w:val="nil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dotted" w:sz="4" w:space="0" w:color="808080"/>
              <w:left w:val="nil"/>
              <w:right w:val="single" w:sz="4" w:space="0" w:color="auto"/>
            </w:tcBorders>
            <w:vAlign w:val="bottom"/>
          </w:tcPr>
          <w:p w:rsidR="0085552F" w:rsidRPr="00643261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432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88 319</w:t>
            </w:r>
          </w:p>
        </w:tc>
        <w:tc>
          <w:tcPr>
            <w:tcW w:w="548" w:type="pct"/>
            <w:tcBorders>
              <w:top w:val="dotted" w:sz="4" w:space="0" w:color="808080"/>
              <w:left w:val="single" w:sz="4" w:space="0" w:color="auto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6320F6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Pr="006320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331</w:t>
            </w:r>
          </w:p>
        </w:tc>
        <w:tc>
          <w:tcPr>
            <w:tcW w:w="687" w:type="pct"/>
            <w:tcBorders>
              <w:top w:val="dotted" w:sz="4" w:space="0" w:color="808080"/>
              <w:left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080</w:t>
            </w:r>
          </w:p>
        </w:tc>
        <w:tc>
          <w:tcPr>
            <w:tcW w:w="612" w:type="pct"/>
            <w:tcBorders>
              <w:top w:val="dotted" w:sz="4" w:space="0" w:color="808080"/>
              <w:left w:val="nil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080</w:t>
            </w:r>
          </w:p>
        </w:tc>
        <w:tc>
          <w:tcPr>
            <w:tcW w:w="534" w:type="pct"/>
            <w:tcBorders>
              <w:top w:val="dotted" w:sz="4" w:space="0" w:color="808080"/>
              <w:left w:val="nil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083</w:t>
            </w:r>
          </w:p>
        </w:tc>
        <w:tc>
          <w:tcPr>
            <w:tcW w:w="572" w:type="pct"/>
            <w:tcBorders>
              <w:top w:val="dotted" w:sz="4" w:space="0" w:color="808080"/>
              <w:left w:val="nil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574</w:t>
            </w:r>
          </w:p>
        </w:tc>
      </w:tr>
      <w:tr w:rsidR="0085552F" w:rsidRPr="00AF7CE3" w:rsidTr="0085552F">
        <w:trPr>
          <w:trHeight w:val="315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VII.</w:t>
            </w:r>
          </w:p>
        </w:tc>
        <w:tc>
          <w:tcPr>
            <w:tcW w:w="11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Egyéb ráfordítások</w:t>
            </w:r>
          </w:p>
        </w:tc>
        <w:tc>
          <w:tcPr>
            <w:tcW w:w="81" w:type="pct"/>
            <w:tcBorders>
              <w:left w:val="nil"/>
              <w:bottom w:val="single" w:sz="8" w:space="0" w:color="auto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218 908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687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61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53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108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57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141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355</w:t>
            </w:r>
          </w:p>
        </w:tc>
      </w:tr>
      <w:tr w:rsidR="0085552F" w:rsidRPr="00AF7CE3" w:rsidTr="0085552F">
        <w:trPr>
          <w:trHeight w:hRule="exact" w:val="69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ÜZEMI (ÜZLETI) TEVÉKENYSÉG EREDMÉNYE (I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±II+III-IV-V-VI-VII)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78 242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51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68 578</w:t>
            </w:r>
          </w:p>
        </w:tc>
      </w:tr>
      <w:tr w:rsidR="0085552F" w:rsidRPr="00AF7CE3" w:rsidTr="0085552F">
        <w:trPr>
          <w:trHeight w:val="315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13.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Kapott (járó) osztalék és részesedés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4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Részesedésekből származó bevételek, árfolyamnyereségek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4 112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5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Befektetett pénzügyi eszközökből (értékpapírokból, kölcsönökből) származó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 xml:space="preserve"> bevételek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bevétele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k</w:t>
            </w:r>
            <w:proofErr w:type="spellEnd"/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árfolyamnyereségek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6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Egyéb kapott (járó) kamatok és kamatjellegű bevételek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85552F" w:rsidRPr="00AF7CE3" w:rsidTr="0085552F">
        <w:trPr>
          <w:trHeight w:hRule="exact" w:val="825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</w:p>
          <w:p w:rsidR="0085552F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</w:p>
          <w:p w:rsidR="0085552F" w:rsidRPr="0085552F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hu-HU"/>
              </w:rPr>
              <w:t>17.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Pénzügyi műveletek egyéb bevételei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946339" w:rsidRDefault="00946339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hu-HU"/>
              </w:rPr>
              <w:t>VIII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Pénzügyi műveletek bevételei (13+14+15+16+17+18+19)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P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4 211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85552F" w:rsidRPr="00AF7CE3" w:rsidTr="0085552F">
        <w:trPr>
          <w:trHeight w:val="662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85552F" w:rsidRPr="0085552F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18.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85552F" w:rsidRPr="0085552F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hu-HU"/>
              </w:rPr>
            </w:pPr>
            <w:r w:rsidRPr="0085552F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hu-HU"/>
              </w:rPr>
              <w:t>Részesedésekből származó ráfordítások, árfolyamveszteségek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P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85552F" w:rsidRPr="00946339" w:rsidRDefault="00946339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463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</w:tcPr>
          <w:p w:rsidR="0085552F" w:rsidRPr="00946339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463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</w:tcPr>
          <w:p w:rsidR="0085552F" w:rsidRPr="00946339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463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</w:tcPr>
          <w:p w:rsidR="0085552F" w:rsidRPr="00946339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463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</w:tcPr>
          <w:p w:rsidR="0085552F" w:rsidRPr="00946339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463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</w:tcPr>
          <w:p w:rsidR="0085552F" w:rsidRPr="00946339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463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9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Befektetett pénzügyi eszközök árfolyamvesztesége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20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Fizetendő kamatok és kamatjellegű ráfordítások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1 682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418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1 398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1</w:t>
            </w: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Részesedések, értékpapírok, bankbetétek értékvesztése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lastRenderedPageBreak/>
              <w:t>IX.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  <w:t>Pénzügyi műveletek egyéb ráfordításai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1 237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485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</w:t>
            </w:r>
            <w:r w:rsidRPr="00AF7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1 340</w:t>
            </w:r>
          </w:p>
        </w:tc>
      </w:tr>
      <w:tr w:rsidR="0085552F" w:rsidRPr="00AF7CE3" w:rsidTr="0085552F">
        <w:trPr>
          <w:trHeight w:val="415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B.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Pénzügyi műveletek ráfordításai (18+19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u w:val="single"/>
                <w:lang w:eastAsia="hu-HU"/>
              </w:rPr>
              <w:t>+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  <w:t>20+21)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  <w:vAlign w:val="bottom"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9463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919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633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897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703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505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738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C.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Pénzügyi műveletek eredménye (VIII -IX)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463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463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605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-89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702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504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707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X.</w:t>
            </w:r>
          </w:p>
        </w:tc>
        <w:tc>
          <w:tcPr>
            <w:tcW w:w="1119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ADÓZÁS ELŐTTI EREDMÉNY (± C ± D)</w:t>
            </w:r>
          </w:p>
        </w:tc>
        <w:tc>
          <w:tcPr>
            <w:tcW w:w="81" w:type="pct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946339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79</w:t>
            </w:r>
            <w:r w:rsidR="008555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534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808080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687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970</w:t>
            </w:r>
          </w:p>
        </w:tc>
        <w:tc>
          <w:tcPr>
            <w:tcW w:w="61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575</w:t>
            </w:r>
          </w:p>
        </w:tc>
        <w:tc>
          <w:tcPr>
            <w:tcW w:w="534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75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092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65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871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D.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Adófizetési kötelezettség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946339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8555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  <w:r w:rsidR="008555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4 500</w:t>
            </w:r>
          </w:p>
        </w:tc>
        <w:tc>
          <w:tcPr>
            <w:tcW w:w="572" w:type="pct"/>
            <w:tcBorders>
              <w:top w:val="nil"/>
              <w:left w:val="nil"/>
              <w:bottom w:val="dotted" w:sz="4" w:space="0" w:color="80808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00</w:t>
            </w:r>
          </w:p>
        </w:tc>
      </w:tr>
      <w:tr w:rsidR="0085552F" w:rsidRPr="00AF7CE3" w:rsidTr="0085552F">
        <w:trPr>
          <w:trHeight w:val="3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ADÓZOTT EREDMÉNY (± C-X)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552F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85552F" w:rsidRPr="00AF7CE3" w:rsidRDefault="00946339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73 084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082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104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470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50 075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592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85552F" w:rsidRPr="00AF7CE3" w:rsidRDefault="0085552F" w:rsidP="00E55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59</w:t>
            </w:r>
            <w:r w:rsidRPr="00AF7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871</w:t>
            </w:r>
          </w:p>
        </w:tc>
      </w:tr>
    </w:tbl>
    <w:p w:rsidR="007B6558" w:rsidRDefault="007B6558" w:rsidP="00262B9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A6473" w:rsidRPr="00453A06" w:rsidRDefault="00CA6473" w:rsidP="0026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-Roman" w:hAnsi="Times-Roman" w:cs="Times-Roman"/>
          <w:sz w:val="24"/>
          <w:szCs w:val="24"/>
        </w:rPr>
        <w:t>A Társaság küldetésének tekinti, hogy igényes szolgáltatásokat nyújtson Várpalota és vonzáskörzetében élő lakosság életminőségének javítása érdekében</w:t>
      </w:r>
      <w:r w:rsidR="00262B9C">
        <w:rPr>
          <w:rFonts w:ascii="Times-Roman" w:hAnsi="Times-Roman" w:cs="Times-Roman"/>
          <w:sz w:val="24"/>
          <w:szCs w:val="24"/>
        </w:rPr>
        <w:t>.</w:t>
      </w:r>
      <w:r w:rsidRPr="00453A06">
        <w:rPr>
          <w:rFonts w:ascii="Times-Roman" w:hAnsi="Times-Roman" w:cs="Times-Roman"/>
          <w:sz w:val="24"/>
          <w:szCs w:val="24"/>
        </w:rPr>
        <w:t xml:space="preserve"> A nyújtott szolgáltatásaink színvonala a mindenkori hatályos jogszabályok betartása mellett feleljen meg a kor műszaki követelményeinek, menjen elébe a vevők igényeinek.</w:t>
      </w:r>
      <w:r w:rsidR="00262B9C">
        <w:rPr>
          <w:rFonts w:ascii="Times-Roman" w:hAnsi="Times-Roman" w:cs="Times-Roman"/>
          <w:sz w:val="24"/>
          <w:szCs w:val="24"/>
        </w:rPr>
        <w:t xml:space="preserve"> </w:t>
      </w:r>
      <w:r w:rsidR="00262B9C">
        <w:rPr>
          <w:rFonts w:ascii="Times New Roman" w:hAnsi="Times New Roman"/>
          <w:sz w:val="24"/>
          <w:szCs w:val="24"/>
        </w:rPr>
        <w:t>A Társaság stratégiai célja a t</w:t>
      </w:r>
      <w:r w:rsidRPr="00453A06">
        <w:rPr>
          <w:rFonts w:ascii="Times New Roman" w:hAnsi="Times New Roman"/>
          <w:sz w:val="24"/>
          <w:szCs w:val="24"/>
        </w:rPr>
        <w:t>evékenységi terület</w:t>
      </w:r>
      <w:r w:rsidR="00262B9C">
        <w:rPr>
          <w:rFonts w:ascii="Times New Roman" w:hAnsi="Times New Roman"/>
          <w:sz w:val="24"/>
          <w:szCs w:val="24"/>
        </w:rPr>
        <w:t>é</w:t>
      </w:r>
      <w:r w:rsidRPr="00453A06">
        <w:rPr>
          <w:rFonts w:ascii="Times New Roman" w:hAnsi="Times New Roman"/>
          <w:sz w:val="24"/>
          <w:szCs w:val="24"/>
        </w:rPr>
        <w:t>n</w:t>
      </w:r>
      <w:r w:rsidR="00262B9C">
        <w:rPr>
          <w:rFonts w:ascii="Times New Roman" w:hAnsi="Times New Roman"/>
          <w:sz w:val="24"/>
          <w:szCs w:val="24"/>
        </w:rPr>
        <w:t>,</w:t>
      </w:r>
      <w:r w:rsidRPr="00453A06">
        <w:rPr>
          <w:rFonts w:ascii="Times New Roman" w:hAnsi="Times New Roman"/>
          <w:sz w:val="24"/>
          <w:szCs w:val="24"/>
        </w:rPr>
        <w:t xml:space="preserve"> </w:t>
      </w:r>
      <w:r w:rsidR="00262B9C">
        <w:rPr>
          <w:rFonts w:ascii="Times New Roman" w:hAnsi="Times New Roman"/>
          <w:sz w:val="24"/>
          <w:szCs w:val="24"/>
        </w:rPr>
        <w:t xml:space="preserve">hogy </w:t>
      </w:r>
      <w:r w:rsidRPr="00453A06">
        <w:rPr>
          <w:rFonts w:ascii="Times New Roman" w:hAnsi="Times New Roman"/>
          <w:sz w:val="24"/>
          <w:szCs w:val="24"/>
        </w:rPr>
        <w:t>a szolgáltatásokba vontak köre folyamatosan</w:t>
      </w:r>
      <w:r>
        <w:rPr>
          <w:rFonts w:ascii="Times New Roman" w:hAnsi="Times New Roman"/>
          <w:sz w:val="24"/>
          <w:szCs w:val="24"/>
        </w:rPr>
        <w:t xml:space="preserve"> bővüljön, mind a lakossági</w:t>
      </w:r>
      <w:r w:rsidR="00481E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mint</w:t>
      </w:r>
      <w:r w:rsidRPr="00453A06">
        <w:rPr>
          <w:rFonts w:ascii="Times New Roman" w:hAnsi="Times New Roman"/>
          <w:sz w:val="24"/>
          <w:szCs w:val="24"/>
        </w:rPr>
        <w:t xml:space="preserve"> a közületek és vállalkozások körében.</w:t>
      </w:r>
    </w:p>
    <w:p w:rsidR="00CA6473" w:rsidRPr="00B27372" w:rsidRDefault="00CA6473" w:rsidP="00B2737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62B9C">
        <w:rPr>
          <w:rFonts w:ascii="Times-Roman" w:hAnsi="Times-Roman" w:cs="Times-Roman"/>
          <w:sz w:val="24"/>
          <w:szCs w:val="24"/>
        </w:rPr>
        <w:t>A kor elvárásainak megfelelően kialakít</w:t>
      </w:r>
      <w:r w:rsidR="00262B9C">
        <w:rPr>
          <w:rFonts w:ascii="Times-Roman" w:hAnsi="Times-Roman" w:cs="Times-Roman"/>
          <w:sz w:val="24"/>
          <w:szCs w:val="24"/>
        </w:rPr>
        <w:t>ottuk</w:t>
      </w:r>
      <w:r w:rsidRPr="00262B9C">
        <w:rPr>
          <w:rFonts w:ascii="Times-Roman" w:hAnsi="Times-Roman" w:cs="Times-Roman"/>
          <w:sz w:val="24"/>
          <w:szCs w:val="24"/>
        </w:rPr>
        <w:t xml:space="preserve"> és tovább</w:t>
      </w:r>
      <w:r w:rsidR="00892C47">
        <w:rPr>
          <w:rFonts w:ascii="Times-Roman" w:hAnsi="Times-Roman" w:cs="Times-Roman"/>
          <w:sz w:val="24"/>
          <w:szCs w:val="24"/>
        </w:rPr>
        <w:t xml:space="preserve"> </w:t>
      </w:r>
      <w:r w:rsidRPr="00262B9C">
        <w:rPr>
          <w:rFonts w:ascii="Times-Roman" w:hAnsi="Times-Roman" w:cs="Times-Roman"/>
          <w:sz w:val="24"/>
          <w:szCs w:val="24"/>
        </w:rPr>
        <w:t>fejlesztjük minőségirányítási rendszerünket és az</w:t>
      </w:r>
      <w:r w:rsidR="00262B9C">
        <w:rPr>
          <w:rFonts w:ascii="Times-Roman" w:hAnsi="Times-Roman" w:cs="Times-Roman"/>
          <w:sz w:val="24"/>
          <w:szCs w:val="24"/>
        </w:rPr>
        <w:t xml:space="preserve"> ebben lefektetett elvek</w:t>
      </w:r>
      <w:r w:rsidRPr="00262B9C">
        <w:rPr>
          <w:rFonts w:ascii="Times-Roman" w:hAnsi="Times-Roman" w:cs="Times-Roman"/>
          <w:sz w:val="24"/>
          <w:szCs w:val="24"/>
        </w:rPr>
        <w:t xml:space="preserve"> a munkavégzés alapjai.</w:t>
      </w:r>
    </w:p>
    <w:p w:rsidR="00D45B67" w:rsidRPr="00D45B67" w:rsidRDefault="00B27372" w:rsidP="00981A26">
      <w:pPr>
        <w:jc w:val="both"/>
        <w:rPr>
          <w:rFonts w:ascii="Times New Roman" w:hAnsi="Times New Roman"/>
          <w:sz w:val="24"/>
          <w:szCs w:val="24"/>
        </w:rPr>
      </w:pPr>
      <w:r w:rsidRPr="00B27372">
        <w:rPr>
          <w:rFonts w:ascii="Times-Roman" w:hAnsi="Times-Roman" w:cs="Times-Roman"/>
          <w:sz w:val="24"/>
          <w:szCs w:val="24"/>
        </w:rPr>
        <w:t>Fejlesztési tevékenységünk során a m</w:t>
      </w:r>
      <w:r w:rsidR="00CA6473" w:rsidRPr="00B27372">
        <w:rPr>
          <w:rFonts w:ascii="Times-Roman" w:hAnsi="Times-Roman" w:cs="Times-Roman"/>
          <w:sz w:val="24"/>
          <w:szCs w:val="24"/>
        </w:rPr>
        <w:t>indenkori szervezetünket a célok megvalósításához alakítjuk, folyamatosan fejlesztjük a munkatársaink, folyamataink és eszközeink képességeit</w:t>
      </w:r>
      <w:r w:rsidR="00CA6473" w:rsidRPr="00453A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6473" w:rsidRPr="00453A06">
        <w:rPr>
          <w:rFonts w:ascii="Times New Roman" w:hAnsi="Times New Roman"/>
          <w:sz w:val="24"/>
          <w:szCs w:val="24"/>
        </w:rPr>
        <w:t>Működésünk során törekszünk egy önálló, kreatív, döntőképes és megbízható csapatból álló kollektíva kialakítására, melyben az optimális légkör, a munkatársak elégedettsége lépcsőfok a teljesítőképesség és a rugalmasság növelése felé.</w:t>
      </w:r>
    </w:p>
    <w:p w:rsidR="007C45F2" w:rsidRDefault="00A0272F" w:rsidP="00625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463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évben a</w:t>
      </w:r>
      <w:r w:rsidR="00B27372">
        <w:rPr>
          <w:rFonts w:ascii="Times New Roman" w:hAnsi="Times New Roman"/>
          <w:sz w:val="24"/>
          <w:szCs w:val="24"/>
        </w:rPr>
        <w:t xml:space="preserve"> Társaság nettó árbevételének </w:t>
      </w:r>
      <w:r w:rsidR="0055029C">
        <w:rPr>
          <w:rFonts w:ascii="Times New Roman" w:hAnsi="Times New Roman"/>
          <w:sz w:val="24"/>
          <w:szCs w:val="24"/>
        </w:rPr>
        <w:t>6</w:t>
      </w:r>
      <w:r w:rsidR="00946339">
        <w:rPr>
          <w:rFonts w:ascii="Times New Roman" w:hAnsi="Times New Roman"/>
          <w:sz w:val="24"/>
          <w:szCs w:val="24"/>
        </w:rPr>
        <w:t>6</w:t>
      </w:r>
      <w:r w:rsidR="00481E92">
        <w:rPr>
          <w:rFonts w:ascii="Times New Roman" w:hAnsi="Times New Roman"/>
          <w:sz w:val="24"/>
          <w:szCs w:val="24"/>
        </w:rPr>
        <w:t>,</w:t>
      </w:r>
      <w:r w:rsidR="00946339">
        <w:rPr>
          <w:rFonts w:ascii="Times New Roman" w:hAnsi="Times New Roman"/>
          <w:sz w:val="24"/>
          <w:szCs w:val="24"/>
        </w:rPr>
        <w:t>9</w:t>
      </w:r>
      <w:r w:rsidR="00C97947" w:rsidRPr="00453A06">
        <w:rPr>
          <w:rFonts w:ascii="Times New Roman" w:hAnsi="Times New Roman"/>
          <w:sz w:val="24"/>
          <w:szCs w:val="24"/>
        </w:rPr>
        <w:t xml:space="preserve"> százalékát</w:t>
      </w:r>
      <w:r w:rsidR="007C45F2">
        <w:rPr>
          <w:rFonts w:ascii="Times New Roman" w:hAnsi="Times New Roman"/>
          <w:sz w:val="24"/>
          <w:szCs w:val="24"/>
        </w:rPr>
        <w:t xml:space="preserve"> fő tevékenysége</w:t>
      </w:r>
      <w:r w:rsidR="00C97947" w:rsidRPr="00453A06">
        <w:rPr>
          <w:rFonts w:ascii="Times New Roman" w:hAnsi="Times New Roman"/>
          <w:sz w:val="24"/>
          <w:szCs w:val="24"/>
        </w:rPr>
        <w:t xml:space="preserve"> az energiaszolgáltatás biztosít</w:t>
      </w:r>
      <w:r>
        <w:rPr>
          <w:rFonts w:ascii="Times New Roman" w:hAnsi="Times New Roman"/>
          <w:sz w:val="24"/>
          <w:szCs w:val="24"/>
        </w:rPr>
        <w:t>otta</w:t>
      </w:r>
      <w:r w:rsidR="007C45F2">
        <w:rPr>
          <w:rFonts w:ascii="Times New Roman" w:hAnsi="Times New Roman"/>
          <w:sz w:val="24"/>
          <w:szCs w:val="24"/>
        </w:rPr>
        <w:t>, amely tendencia 201</w:t>
      </w:r>
      <w:r w:rsidR="00946339">
        <w:rPr>
          <w:rFonts w:ascii="Times New Roman" w:hAnsi="Times New Roman"/>
          <w:sz w:val="24"/>
          <w:szCs w:val="24"/>
        </w:rPr>
        <w:t>9</w:t>
      </w:r>
      <w:r w:rsidR="007C45F2">
        <w:rPr>
          <w:rFonts w:ascii="Times New Roman" w:hAnsi="Times New Roman"/>
          <w:sz w:val="24"/>
          <w:szCs w:val="24"/>
        </w:rPr>
        <w:t xml:space="preserve">. évben is megmarad. </w:t>
      </w:r>
    </w:p>
    <w:p w:rsidR="00CA0E3A" w:rsidRDefault="00CA0E3A" w:rsidP="00625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Társaságunk </w:t>
      </w:r>
      <w:r w:rsidR="00981A26">
        <w:rPr>
          <w:rFonts w:ascii="Times New Roman" w:hAnsi="Times New Roman"/>
          <w:sz w:val="24"/>
          <w:szCs w:val="24"/>
        </w:rPr>
        <w:t>2013</w:t>
      </w:r>
      <w:r w:rsidR="00AE181E">
        <w:rPr>
          <w:rFonts w:ascii="Times New Roman" w:hAnsi="Times New Roman"/>
          <w:sz w:val="24"/>
          <w:szCs w:val="24"/>
        </w:rPr>
        <w:t>-2014</w:t>
      </w:r>
      <w:r w:rsidR="00981A26">
        <w:rPr>
          <w:rFonts w:ascii="Times New Roman" w:hAnsi="Times New Roman"/>
          <w:sz w:val="24"/>
          <w:szCs w:val="24"/>
        </w:rPr>
        <w:t>. évben a r</w:t>
      </w:r>
      <w:r w:rsidR="0042365C">
        <w:rPr>
          <w:rFonts w:ascii="Times New Roman" w:hAnsi="Times New Roman"/>
          <w:sz w:val="24"/>
          <w:szCs w:val="24"/>
        </w:rPr>
        <w:t xml:space="preserve">ezsicsökkentések végrehajtásáról szóló törvényben foglaltak alapján jogkövető magatartást tanúsítva végrehajtotta </w:t>
      </w:r>
      <w:r>
        <w:rPr>
          <w:rFonts w:ascii="Times New Roman" w:hAnsi="Times New Roman"/>
          <w:sz w:val="24"/>
          <w:szCs w:val="24"/>
        </w:rPr>
        <w:t>a távhő végfogyasztói</w:t>
      </w:r>
      <w:r w:rsidR="00550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árainak</w:t>
      </w:r>
      <w:r w:rsidR="00550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 január 1-től</w:t>
      </w:r>
      <w:r w:rsidR="007C45F2">
        <w:rPr>
          <w:rFonts w:ascii="Times New Roman" w:hAnsi="Times New Roman"/>
          <w:sz w:val="24"/>
          <w:szCs w:val="24"/>
        </w:rPr>
        <w:t>,</w:t>
      </w:r>
      <w:r w:rsidR="0042365C">
        <w:rPr>
          <w:rFonts w:ascii="Times New Roman" w:hAnsi="Times New Roman"/>
          <w:sz w:val="24"/>
          <w:szCs w:val="24"/>
        </w:rPr>
        <w:t xml:space="preserve"> és november 1-től</w:t>
      </w:r>
      <w:r>
        <w:rPr>
          <w:rFonts w:ascii="Times New Roman" w:hAnsi="Times New Roman"/>
          <w:sz w:val="24"/>
          <w:szCs w:val="24"/>
        </w:rPr>
        <w:t xml:space="preserve"> történő 10%-os csökkentését. </w:t>
      </w:r>
      <w:r w:rsidR="0042365C">
        <w:rPr>
          <w:rFonts w:ascii="Times New Roman" w:hAnsi="Times New Roman"/>
          <w:sz w:val="24"/>
          <w:szCs w:val="24"/>
        </w:rPr>
        <w:t xml:space="preserve">A </w:t>
      </w:r>
      <w:r w:rsidRPr="00453A06">
        <w:rPr>
          <w:rFonts w:ascii="Times New Roman" w:hAnsi="Times New Roman"/>
          <w:sz w:val="24"/>
          <w:szCs w:val="24"/>
        </w:rPr>
        <w:t>201</w:t>
      </w:r>
      <w:r w:rsidR="00946339">
        <w:rPr>
          <w:rFonts w:ascii="Times New Roman" w:hAnsi="Times New Roman"/>
          <w:sz w:val="24"/>
          <w:szCs w:val="24"/>
        </w:rPr>
        <w:t>9</w:t>
      </w:r>
      <w:r w:rsidRPr="00453A06">
        <w:rPr>
          <w:rFonts w:ascii="Times New Roman" w:hAnsi="Times New Roman"/>
          <w:sz w:val="24"/>
          <w:szCs w:val="24"/>
        </w:rPr>
        <w:t>.</w:t>
      </w:r>
      <w:r w:rsidR="0042365C">
        <w:rPr>
          <w:rFonts w:ascii="Times New Roman" w:hAnsi="Times New Roman"/>
          <w:sz w:val="24"/>
          <w:szCs w:val="24"/>
        </w:rPr>
        <w:t xml:space="preserve"> évi árbevétel tervezésénél figyelembe vettük a</w:t>
      </w:r>
      <w:r w:rsidRPr="00453A06">
        <w:rPr>
          <w:rFonts w:ascii="Times New Roman" w:hAnsi="Times New Roman"/>
          <w:sz w:val="24"/>
          <w:szCs w:val="24"/>
        </w:rPr>
        <w:t xml:space="preserve"> lakossági távhő és meleg-víz szolgáltatás alapdíja </w:t>
      </w:r>
      <w:r>
        <w:rPr>
          <w:rFonts w:ascii="Times New Roman" w:hAnsi="Times New Roman"/>
          <w:sz w:val="24"/>
          <w:szCs w:val="24"/>
        </w:rPr>
        <w:t>és hő díja esetén</w:t>
      </w:r>
      <w:r w:rsidRPr="00453A06">
        <w:rPr>
          <w:rFonts w:ascii="Times New Roman" w:hAnsi="Times New Roman"/>
          <w:sz w:val="24"/>
          <w:szCs w:val="24"/>
        </w:rPr>
        <w:t xml:space="preserve"> Várpalota város</w:t>
      </w:r>
      <w:r>
        <w:rPr>
          <w:rFonts w:ascii="Times New Roman" w:hAnsi="Times New Roman"/>
          <w:sz w:val="24"/>
          <w:szCs w:val="24"/>
        </w:rPr>
        <w:t xml:space="preserve"> és Inota</w:t>
      </w:r>
      <w:r w:rsidRPr="00453A06">
        <w:rPr>
          <w:rFonts w:ascii="Times New Roman" w:hAnsi="Times New Roman"/>
          <w:sz w:val="24"/>
          <w:szCs w:val="24"/>
        </w:rPr>
        <w:t xml:space="preserve"> területén</w:t>
      </w:r>
      <w:r w:rsidR="0042365C">
        <w:rPr>
          <w:rFonts w:ascii="Times New Roman" w:hAnsi="Times New Roman"/>
          <w:sz w:val="24"/>
          <w:szCs w:val="24"/>
        </w:rPr>
        <w:t xml:space="preserve"> a 2013. évi csökkentések</w:t>
      </w:r>
      <w:r w:rsidR="007F287A">
        <w:rPr>
          <w:rFonts w:ascii="Times New Roman" w:hAnsi="Times New Roman"/>
          <w:sz w:val="24"/>
          <w:szCs w:val="24"/>
        </w:rPr>
        <w:t xml:space="preserve"> </w:t>
      </w:r>
      <w:r w:rsidR="0042365C">
        <w:rPr>
          <w:rFonts w:ascii="Times New Roman" w:hAnsi="Times New Roman"/>
          <w:sz w:val="24"/>
          <w:szCs w:val="24"/>
        </w:rPr>
        <w:t>és a már jogszabályba foglalt 2014. október 1-től végrehajtandó 3,3 százalékos további díjcsökkentés árbevétel cs</w:t>
      </w:r>
      <w:r w:rsidR="007C45F2">
        <w:rPr>
          <w:rFonts w:ascii="Times New Roman" w:hAnsi="Times New Roman"/>
          <w:sz w:val="24"/>
          <w:szCs w:val="24"/>
        </w:rPr>
        <w:t>ökkenést eredményező hatásait.</w:t>
      </w:r>
    </w:p>
    <w:p w:rsidR="00C1628A" w:rsidRDefault="007C45F2" w:rsidP="00625BFB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A tervezés </w:t>
      </w:r>
      <w:r w:rsidR="00613142">
        <w:rPr>
          <w:rFonts w:ascii="Times New Roman" w:hAnsi="Times New Roman"/>
          <w:sz w:val="24"/>
          <w:szCs w:val="24"/>
        </w:rPr>
        <w:t>alkalmával</w:t>
      </w:r>
      <w:r>
        <w:rPr>
          <w:rFonts w:ascii="Times New Roman" w:hAnsi="Times New Roman"/>
          <w:sz w:val="24"/>
          <w:szCs w:val="24"/>
        </w:rPr>
        <w:t xml:space="preserve"> a távhőszolgáltatás területén</w:t>
      </w:r>
      <w:r w:rsidRPr="00453A06">
        <w:rPr>
          <w:rFonts w:ascii="Times New Roman" w:hAnsi="Times New Roman"/>
          <w:sz w:val="24"/>
          <w:szCs w:val="24"/>
        </w:rPr>
        <w:t xml:space="preserve"> a díjtételek 201</w:t>
      </w:r>
      <w:r w:rsidR="00946339">
        <w:rPr>
          <w:rFonts w:ascii="Times New Roman" w:hAnsi="Times New Roman"/>
          <w:sz w:val="24"/>
          <w:szCs w:val="24"/>
        </w:rPr>
        <w:t>8</w:t>
      </w:r>
      <w:r w:rsidR="00481E92">
        <w:rPr>
          <w:rFonts w:ascii="Times New Roman" w:hAnsi="Times New Roman"/>
          <w:sz w:val="24"/>
          <w:szCs w:val="24"/>
        </w:rPr>
        <w:t>.</w:t>
      </w:r>
      <w:r w:rsidRPr="00453A06">
        <w:rPr>
          <w:rFonts w:ascii="Times New Roman" w:hAnsi="Times New Roman"/>
          <w:sz w:val="24"/>
          <w:szCs w:val="24"/>
        </w:rPr>
        <w:t xml:space="preserve"> évi változ</w:t>
      </w:r>
      <w:r w:rsidR="00481E92">
        <w:rPr>
          <w:rFonts w:ascii="Times New Roman" w:hAnsi="Times New Roman"/>
          <w:sz w:val="24"/>
          <w:szCs w:val="24"/>
        </w:rPr>
        <w:t>atlanságát</w:t>
      </w:r>
      <w:r w:rsidRPr="00453A06">
        <w:rPr>
          <w:rFonts w:ascii="Times New Roman" w:hAnsi="Times New Roman"/>
          <w:sz w:val="24"/>
          <w:szCs w:val="24"/>
        </w:rPr>
        <w:t xml:space="preserve"> figyelembe véve az előző évi tényadatokból számolva</w:t>
      </w:r>
      <w:r>
        <w:rPr>
          <w:rFonts w:ascii="Times New Roman" w:hAnsi="Times New Roman"/>
          <w:sz w:val="24"/>
          <w:szCs w:val="24"/>
        </w:rPr>
        <w:t xml:space="preserve"> </w:t>
      </w:r>
      <w:r w:rsidR="00481E92">
        <w:rPr>
          <w:rFonts w:ascii="Times New Roman" w:hAnsi="Times New Roman"/>
          <w:sz w:val="24"/>
          <w:szCs w:val="24"/>
        </w:rPr>
        <w:t>7</w:t>
      </w:r>
      <w:r w:rsidR="00946339">
        <w:rPr>
          <w:rFonts w:ascii="Times New Roman" w:hAnsi="Times New Roman"/>
          <w:sz w:val="24"/>
          <w:szCs w:val="24"/>
        </w:rPr>
        <w:t>10</w:t>
      </w:r>
      <w:r w:rsidR="00430D8F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721</w:t>
      </w:r>
      <w:r w:rsidR="00430D8F">
        <w:rPr>
          <w:rFonts w:ascii="Times New Roman" w:hAnsi="Times New Roman"/>
          <w:sz w:val="24"/>
          <w:szCs w:val="24"/>
        </w:rPr>
        <w:t xml:space="preserve"> 000</w:t>
      </w:r>
      <w:r w:rsidRPr="00453A06">
        <w:rPr>
          <w:rFonts w:ascii="Times New Roman" w:hAnsi="Times New Roman"/>
          <w:sz w:val="24"/>
          <w:szCs w:val="24"/>
        </w:rPr>
        <w:t xml:space="preserve"> Ft árbevétellel számol a Társaság</w:t>
      </w:r>
      <w:r>
        <w:rPr>
          <w:rFonts w:ascii="Times New Roman" w:hAnsi="Times New Roman"/>
          <w:sz w:val="24"/>
          <w:szCs w:val="24"/>
        </w:rPr>
        <w:t xml:space="preserve"> Várpalota és Inota tekintetében.</w:t>
      </w:r>
    </w:p>
    <w:p w:rsidR="004722F6" w:rsidRDefault="00BD252D" w:rsidP="00472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jelenlegi </w:t>
      </w:r>
      <w:r w:rsidR="00AB731C">
        <w:rPr>
          <w:rFonts w:ascii="Times New Roman" w:hAnsi="Times New Roman"/>
          <w:sz w:val="24"/>
          <w:szCs w:val="24"/>
        </w:rPr>
        <w:t xml:space="preserve">szerződéses </w:t>
      </w:r>
      <w:r>
        <w:rPr>
          <w:rFonts w:ascii="Times New Roman" w:hAnsi="Times New Roman"/>
          <w:sz w:val="24"/>
          <w:szCs w:val="24"/>
        </w:rPr>
        <w:t>partnerünk kondíciói által kalkulált v</w:t>
      </w:r>
      <w:r w:rsidR="004722F6" w:rsidRPr="00453A06">
        <w:rPr>
          <w:rFonts w:ascii="Times New Roman" w:hAnsi="Times New Roman"/>
          <w:sz w:val="24"/>
          <w:szCs w:val="24"/>
        </w:rPr>
        <w:t>illamos energiaértékesítésből származó tervezett árbevétel 201</w:t>
      </w:r>
      <w:r w:rsidR="00946339">
        <w:rPr>
          <w:rFonts w:ascii="Times New Roman" w:hAnsi="Times New Roman"/>
          <w:sz w:val="24"/>
          <w:szCs w:val="24"/>
        </w:rPr>
        <w:t>9</w:t>
      </w:r>
      <w:r w:rsidR="00D615A2">
        <w:rPr>
          <w:rFonts w:ascii="Times New Roman" w:hAnsi="Times New Roman"/>
          <w:sz w:val="24"/>
          <w:szCs w:val="24"/>
        </w:rPr>
        <w:t xml:space="preserve">. évben </w:t>
      </w:r>
      <w:r w:rsidR="0055029C">
        <w:rPr>
          <w:rFonts w:ascii="Times New Roman" w:hAnsi="Times New Roman"/>
          <w:sz w:val="24"/>
          <w:szCs w:val="24"/>
        </w:rPr>
        <w:t>1</w:t>
      </w:r>
      <w:r w:rsidR="00946339">
        <w:rPr>
          <w:rFonts w:ascii="Times New Roman" w:hAnsi="Times New Roman"/>
          <w:sz w:val="24"/>
          <w:szCs w:val="24"/>
        </w:rPr>
        <w:t>79</w:t>
      </w:r>
      <w:r w:rsidR="00481E92">
        <w:rPr>
          <w:rFonts w:ascii="Times New Roman" w:hAnsi="Times New Roman"/>
          <w:sz w:val="24"/>
          <w:szCs w:val="24"/>
        </w:rPr>
        <w:t xml:space="preserve"> </w:t>
      </w:r>
      <w:r w:rsidR="00946339">
        <w:rPr>
          <w:rFonts w:ascii="Times New Roman" w:hAnsi="Times New Roman"/>
          <w:sz w:val="24"/>
          <w:szCs w:val="24"/>
        </w:rPr>
        <w:t>428</w:t>
      </w:r>
      <w:r w:rsidR="00481E92">
        <w:rPr>
          <w:rFonts w:ascii="Times New Roman" w:hAnsi="Times New Roman"/>
          <w:sz w:val="24"/>
          <w:szCs w:val="24"/>
        </w:rPr>
        <w:t xml:space="preserve"> 000</w:t>
      </w:r>
      <w:r w:rsidR="004722F6" w:rsidRPr="00453A06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</w:p>
    <w:p w:rsidR="009F352C" w:rsidRDefault="009F352C" w:rsidP="00472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51/2011 (IX.30.) NFM rendelet alapján a lakossági felhasználóknak nyújtott távhőszolgáltatás során termelt hőmennyiség figyelembevéte</w:t>
      </w:r>
      <w:r w:rsidR="00BA3989">
        <w:rPr>
          <w:rFonts w:ascii="Times New Roman" w:hAnsi="Times New Roman"/>
          <w:sz w:val="24"/>
          <w:szCs w:val="24"/>
        </w:rPr>
        <w:t xml:space="preserve">lével igényelhető támogatás </w:t>
      </w:r>
      <w:r w:rsidR="00D603E5">
        <w:rPr>
          <w:rFonts w:ascii="Times New Roman" w:hAnsi="Times New Roman"/>
          <w:sz w:val="24"/>
          <w:szCs w:val="24"/>
        </w:rPr>
        <w:t xml:space="preserve">Inota vonatkozásában </w:t>
      </w:r>
      <w:r w:rsidR="00BA3989">
        <w:rPr>
          <w:rFonts w:ascii="Times New Roman" w:hAnsi="Times New Roman"/>
          <w:sz w:val="24"/>
          <w:szCs w:val="24"/>
        </w:rPr>
        <w:t>201</w:t>
      </w:r>
      <w:r w:rsidR="009463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évre tervezhető mértéke </w:t>
      </w:r>
      <w:r w:rsidR="00946339">
        <w:rPr>
          <w:rFonts w:ascii="Times New Roman" w:hAnsi="Times New Roman"/>
          <w:sz w:val="24"/>
          <w:szCs w:val="24"/>
        </w:rPr>
        <w:t>53</w:t>
      </w:r>
      <w:r w:rsidR="00481E92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948</w:t>
      </w:r>
      <w:r w:rsidR="00481E92">
        <w:rPr>
          <w:rFonts w:ascii="Times New Roman" w:hAnsi="Times New Roman"/>
          <w:sz w:val="24"/>
          <w:szCs w:val="24"/>
        </w:rPr>
        <w:t> </w:t>
      </w:r>
      <w:r w:rsidR="0055029C">
        <w:rPr>
          <w:rFonts w:ascii="Times New Roman" w:hAnsi="Times New Roman"/>
          <w:sz w:val="24"/>
          <w:szCs w:val="24"/>
        </w:rPr>
        <w:t>000</w:t>
      </w:r>
      <w:r w:rsidR="00481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</w:t>
      </w:r>
      <w:r w:rsidR="005921B0">
        <w:rPr>
          <w:rFonts w:ascii="Times New Roman" w:hAnsi="Times New Roman"/>
          <w:sz w:val="24"/>
          <w:szCs w:val="24"/>
        </w:rPr>
        <w:t>.</w:t>
      </w:r>
      <w:r w:rsidR="00445E71">
        <w:rPr>
          <w:rFonts w:ascii="Times New Roman" w:hAnsi="Times New Roman"/>
          <w:sz w:val="24"/>
          <w:szCs w:val="24"/>
        </w:rPr>
        <w:t xml:space="preserve"> </w:t>
      </w:r>
      <w:r w:rsidR="005921B0">
        <w:rPr>
          <w:rFonts w:ascii="Times New Roman" w:hAnsi="Times New Roman"/>
          <w:sz w:val="24"/>
          <w:szCs w:val="24"/>
        </w:rPr>
        <w:t>A</w:t>
      </w:r>
      <w:r w:rsidR="00445E71">
        <w:rPr>
          <w:rFonts w:ascii="Times New Roman" w:hAnsi="Times New Roman"/>
          <w:sz w:val="24"/>
          <w:szCs w:val="24"/>
        </w:rPr>
        <w:t xml:space="preserve"> támogatás mértéke 201</w:t>
      </w:r>
      <w:r w:rsidR="00946339">
        <w:rPr>
          <w:rFonts w:ascii="Times New Roman" w:hAnsi="Times New Roman"/>
          <w:sz w:val="24"/>
          <w:szCs w:val="24"/>
        </w:rPr>
        <w:t>8</w:t>
      </w:r>
      <w:r w:rsidR="00445E71">
        <w:rPr>
          <w:rFonts w:ascii="Times New Roman" w:hAnsi="Times New Roman"/>
          <w:sz w:val="24"/>
          <w:szCs w:val="24"/>
        </w:rPr>
        <w:t xml:space="preserve">. </w:t>
      </w:r>
      <w:r w:rsidR="00D603E5">
        <w:rPr>
          <w:rFonts w:ascii="Times New Roman" w:hAnsi="Times New Roman"/>
          <w:sz w:val="24"/>
          <w:szCs w:val="24"/>
        </w:rPr>
        <w:t>október</w:t>
      </w:r>
      <w:r w:rsidR="00BA3989">
        <w:rPr>
          <w:rFonts w:ascii="Times New Roman" w:hAnsi="Times New Roman"/>
          <w:sz w:val="24"/>
          <w:szCs w:val="24"/>
        </w:rPr>
        <w:t xml:space="preserve"> 1-től</w:t>
      </w:r>
      <w:r w:rsidR="00445E71">
        <w:rPr>
          <w:rFonts w:ascii="Times New Roman" w:hAnsi="Times New Roman"/>
          <w:sz w:val="24"/>
          <w:szCs w:val="24"/>
        </w:rPr>
        <w:t xml:space="preserve"> </w:t>
      </w:r>
      <w:r w:rsidR="00946339">
        <w:rPr>
          <w:rFonts w:ascii="Times New Roman" w:hAnsi="Times New Roman"/>
          <w:sz w:val="24"/>
          <w:szCs w:val="24"/>
        </w:rPr>
        <w:t>1 770</w:t>
      </w:r>
      <w:r w:rsidR="00BA3989">
        <w:rPr>
          <w:rFonts w:ascii="Times New Roman" w:hAnsi="Times New Roman"/>
          <w:sz w:val="24"/>
          <w:szCs w:val="24"/>
        </w:rPr>
        <w:t xml:space="preserve"> </w:t>
      </w:r>
      <w:r w:rsidR="00445E71">
        <w:rPr>
          <w:rFonts w:ascii="Times New Roman" w:hAnsi="Times New Roman"/>
          <w:sz w:val="24"/>
          <w:szCs w:val="24"/>
        </w:rPr>
        <w:t>Ft/</w:t>
      </w:r>
      <w:proofErr w:type="gramStart"/>
      <w:r w:rsidR="00445E71">
        <w:rPr>
          <w:rFonts w:ascii="Times New Roman" w:hAnsi="Times New Roman"/>
          <w:sz w:val="24"/>
          <w:szCs w:val="24"/>
        </w:rPr>
        <w:t>GJ</w:t>
      </w:r>
      <w:proofErr w:type="gramEnd"/>
      <w:r w:rsidR="0050344B">
        <w:rPr>
          <w:rFonts w:ascii="Times New Roman" w:hAnsi="Times New Roman"/>
          <w:sz w:val="24"/>
          <w:szCs w:val="24"/>
        </w:rPr>
        <w:t xml:space="preserve"> amely</w:t>
      </w:r>
      <w:r w:rsidR="00D603E5">
        <w:rPr>
          <w:rFonts w:ascii="Times New Roman" w:hAnsi="Times New Roman"/>
          <w:sz w:val="24"/>
          <w:szCs w:val="24"/>
        </w:rPr>
        <w:t xml:space="preserve"> </w:t>
      </w:r>
      <w:r w:rsidR="0050344B">
        <w:rPr>
          <w:rFonts w:ascii="Times New Roman" w:hAnsi="Times New Roman"/>
          <w:sz w:val="24"/>
          <w:szCs w:val="24"/>
        </w:rPr>
        <w:t>a termelt hőmennyiség alapján igényelhető</w:t>
      </w:r>
      <w:r w:rsidR="00D603E5">
        <w:rPr>
          <w:rFonts w:ascii="Times New Roman" w:hAnsi="Times New Roman"/>
          <w:sz w:val="24"/>
          <w:szCs w:val="24"/>
        </w:rPr>
        <w:t xml:space="preserve"> és havi fix </w:t>
      </w:r>
      <w:r w:rsidR="00613142">
        <w:rPr>
          <w:rFonts w:ascii="Times New Roman" w:hAnsi="Times New Roman"/>
          <w:sz w:val="24"/>
          <w:szCs w:val="24"/>
        </w:rPr>
        <w:lastRenderedPageBreak/>
        <w:t>3</w:t>
      </w:r>
      <w:r w:rsidR="00D603E5">
        <w:rPr>
          <w:rFonts w:ascii="Times New Roman" w:hAnsi="Times New Roman"/>
          <w:sz w:val="24"/>
          <w:szCs w:val="24"/>
        </w:rPr>
        <w:t> </w:t>
      </w:r>
      <w:r w:rsidR="00613142">
        <w:rPr>
          <w:rFonts w:ascii="Times New Roman" w:hAnsi="Times New Roman"/>
          <w:sz w:val="24"/>
          <w:szCs w:val="24"/>
        </w:rPr>
        <w:t>1</w:t>
      </w:r>
      <w:r w:rsidR="00946339">
        <w:rPr>
          <w:rFonts w:ascii="Times New Roman" w:hAnsi="Times New Roman"/>
          <w:sz w:val="24"/>
          <w:szCs w:val="24"/>
        </w:rPr>
        <w:t xml:space="preserve">56 264 </w:t>
      </w:r>
      <w:r w:rsidR="00D603E5">
        <w:rPr>
          <w:rFonts w:ascii="Times New Roman" w:hAnsi="Times New Roman"/>
          <w:sz w:val="24"/>
          <w:szCs w:val="24"/>
        </w:rPr>
        <w:t>Ft</w:t>
      </w:r>
      <w:r w:rsidR="0050344B">
        <w:rPr>
          <w:rFonts w:ascii="Times New Roman" w:hAnsi="Times New Roman"/>
          <w:sz w:val="24"/>
          <w:szCs w:val="24"/>
        </w:rPr>
        <w:t xml:space="preserve"> összegű</w:t>
      </w:r>
      <w:r w:rsidR="00BA3989">
        <w:rPr>
          <w:rFonts w:ascii="Times New Roman" w:hAnsi="Times New Roman"/>
          <w:sz w:val="24"/>
          <w:szCs w:val="24"/>
        </w:rPr>
        <w:t xml:space="preserve">. </w:t>
      </w:r>
      <w:r w:rsidR="00D603E5">
        <w:rPr>
          <w:rFonts w:ascii="Times New Roman" w:hAnsi="Times New Roman"/>
          <w:sz w:val="24"/>
          <w:szCs w:val="24"/>
        </w:rPr>
        <w:t>Várpalota</w:t>
      </w:r>
      <w:r w:rsidR="00AB731C">
        <w:rPr>
          <w:rFonts w:ascii="Times New Roman" w:hAnsi="Times New Roman"/>
          <w:sz w:val="24"/>
          <w:szCs w:val="24"/>
        </w:rPr>
        <w:t xml:space="preserve"> tekintetében a támogatás mértéke 201</w:t>
      </w:r>
      <w:r w:rsidR="00946339">
        <w:rPr>
          <w:rFonts w:ascii="Times New Roman" w:hAnsi="Times New Roman"/>
          <w:sz w:val="24"/>
          <w:szCs w:val="24"/>
        </w:rPr>
        <w:t>8</w:t>
      </w:r>
      <w:r w:rsidR="00AB731C">
        <w:rPr>
          <w:rFonts w:ascii="Times New Roman" w:hAnsi="Times New Roman"/>
          <w:sz w:val="24"/>
          <w:szCs w:val="24"/>
        </w:rPr>
        <w:t xml:space="preserve">. </w:t>
      </w:r>
      <w:r w:rsidR="00D603E5">
        <w:rPr>
          <w:rFonts w:ascii="Times New Roman" w:hAnsi="Times New Roman"/>
          <w:sz w:val="24"/>
          <w:szCs w:val="24"/>
        </w:rPr>
        <w:t>októ</w:t>
      </w:r>
      <w:r w:rsidR="005921B0">
        <w:rPr>
          <w:rFonts w:ascii="Times New Roman" w:hAnsi="Times New Roman"/>
          <w:sz w:val="24"/>
          <w:szCs w:val="24"/>
        </w:rPr>
        <w:t>ber</w:t>
      </w:r>
      <w:r w:rsidR="00AB731C">
        <w:rPr>
          <w:rFonts w:ascii="Times New Roman" w:hAnsi="Times New Roman"/>
          <w:sz w:val="24"/>
          <w:szCs w:val="24"/>
        </w:rPr>
        <w:t xml:space="preserve"> 01-től</w:t>
      </w:r>
      <w:r w:rsidR="0055029C">
        <w:rPr>
          <w:rFonts w:ascii="Times New Roman" w:hAnsi="Times New Roman"/>
          <w:sz w:val="24"/>
          <w:szCs w:val="24"/>
        </w:rPr>
        <w:t xml:space="preserve"> </w:t>
      </w:r>
      <w:r w:rsidR="00946339">
        <w:rPr>
          <w:rFonts w:ascii="Times New Roman" w:hAnsi="Times New Roman"/>
          <w:sz w:val="24"/>
          <w:szCs w:val="24"/>
        </w:rPr>
        <w:t>340</w:t>
      </w:r>
      <w:r w:rsidR="0055029C">
        <w:rPr>
          <w:rFonts w:ascii="Times New Roman" w:hAnsi="Times New Roman"/>
          <w:sz w:val="24"/>
          <w:szCs w:val="24"/>
        </w:rPr>
        <w:t xml:space="preserve"> Ft/GJ fajlagos és </w:t>
      </w:r>
      <w:r w:rsidR="00D603E5">
        <w:rPr>
          <w:rFonts w:ascii="Times New Roman" w:hAnsi="Times New Roman"/>
          <w:sz w:val="24"/>
          <w:szCs w:val="24"/>
        </w:rPr>
        <w:t>havi fix összegű 1</w:t>
      </w:r>
      <w:r w:rsidR="00946339">
        <w:rPr>
          <w:rFonts w:ascii="Times New Roman" w:hAnsi="Times New Roman"/>
          <w:sz w:val="24"/>
          <w:szCs w:val="24"/>
        </w:rPr>
        <w:t>7</w:t>
      </w:r>
      <w:r w:rsidR="00D603E5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565</w:t>
      </w:r>
      <w:r w:rsidR="00D603E5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239</w:t>
      </w:r>
      <w:r w:rsidR="00D603E5">
        <w:rPr>
          <w:rFonts w:ascii="Times New Roman" w:hAnsi="Times New Roman"/>
          <w:sz w:val="24"/>
          <w:szCs w:val="24"/>
        </w:rPr>
        <w:t xml:space="preserve"> Ft,</w:t>
      </w:r>
      <w:r w:rsidR="00C162FA">
        <w:rPr>
          <w:rFonts w:ascii="Times New Roman" w:hAnsi="Times New Roman"/>
          <w:sz w:val="24"/>
          <w:szCs w:val="24"/>
        </w:rPr>
        <w:t xml:space="preserve"> éves szinten </w:t>
      </w:r>
      <w:r w:rsidR="00946339">
        <w:rPr>
          <w:rFonts w:ascii="Times New Roman" w:hAnsi="Times New Roman"/>
          <w:sz w:val="24"/>
          <w:szCs w:val="24"/>
        </w:rPr>
        <w:t>245</w:t>
      </w:r>
      <w:r w:rsidR="00D603E5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137</w:t>
      </w:r>
      <w:r w:rsidR="00D603E5">
        <w:rPr>
          <w:rFonts w:ascii="Times New Roman" w:hAnsi="Times New Roman"/>
          <w:sz w:val="24"/>
          <w:szCs w:val="24"/>
        </w:rPr>
        <w:t xml:space="preserve"> </w:t>
      </w:r>
      <w:r w:rsidR="0055029C">
        <w:rPr>
          <w:rFonts w:ascii="Times New Roman" w:hAnsi="Times New Roman"/>
          <w:sz w:val="24"/>
          <w:szCs w:val="24"/>
        </w:rPr>
        <w:t>000</w:t>
      </w:r>
      <w:r w:rsidR="00C162FA">
        <w:rPr>
          <w:rFonts w:ascii="Times New Roman" w:hAnsi="Times New Roman"/>
          <w:sz w:val="24"/>
          <w:szCs w:val="24"/>
        </w:rPr>
        <w:t xml:space="preserve"> Ft támogatás tervezhető</w:t>
      </w:r>
      <w:r w:rsidR="00D615A2">
        <w:rPr>
          <w:rFonts w:ascii="Times New Roman" w:hAnsi="Times New Roman"/>
          <w:sz w:val="24"/>
          <w:szCs w:val="24"/>
        </w:rPr>
        <w:t xml:space="preserve"> az egyéb bevételek között</w:t>
      </w:r>
      <w:r w:rsidR="00C162FA">
        <w:rPr>
          <w:rFonts w:ascii="Times New Roman" w:hAnsi="Times New Roman"/>
          <w:sz w:val="24"/>
          <w:szCs w:val="24"/>
        </w:rPr>
        <w:t>.</w:t>
      </w:r>
    </w:p>
    <w:p w:rsidR="0037029A" w:rsidRPr="00453A06" w:rsidRDefault="00C97947" w:rsidP="00631C4E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A Társaság költségei közül az energiaszolgáltatás ellátásához szükséges gázköltség a legnagyobb és meghatározó tényező. </w:t>
      </w:r>
      <w:r w:rsidR="00631C4E" w:rsidRPr="00453A06">
        <w:rPr>
          <w:rFonts w:ascii="Times New Roman" w:hAnsi="Times New Roman"/>
          <w:sz w:val="24"/>
          <w:szCs w:val="24"/>
        </w:rPr>
        <w:t>A 201</w:t>
      </w:r>
      <w:r w:rsidR="00946339">
        <w:rPr>
          <w:rFonts w:ascii="Times New Roman" w:hAnsi="Times New Roman"/>
          <w:sz w:val="24"/>
          <w:szCs w:val="24"/>
        </w:rPr>
        <w:t>9</w:t>
      </w:r>
      <w:r w:rsidR="00631C4E" w:rsidRPr="00453A06">
        <w:rPr>
          <w:rFonts w:ascii="Times New Roman" w:hAnsi="Times New Roman"/>
          <w:sz w:val="24"/>
          <w:szCs w:val="24"/>
        </w:rPr>
        <w:t xml:space="preserve">. évi földgázköltség </w:t>
      </w:r>
      <w:r w:rsidR="001B28FC">
        <w:rPr>
          <w:rFonts w:ascii="Times New Roman" w:hAnsi="Times New Roman"/>
          <w:sz w:val="24"/>
          <w:szCs w:val="24"/>
        </w:rPr>
        <w:t>számítása</w:t>
      </w:r>
      <w:r w:rsidR="00631C4E" w:rsidRPr="00453A06">
        <w:rPr>
          <w:rFonts w:ascii="Times New Roman" w:hAnsi="Times New Roman"/>
          <w:sz w:val="24"/>
          <w:szCs w:val="24"/>
        </w:rPr>
        <w:t xml:space="preserve"> a 201</w:t>
      </w:r>
      <w:r w:rsidR="00946339">
        <w:rPr>
          <w:rFonts w:ascii="Times New Roman" w:hAnsi="Times New Roman"/>
          <w:sz w:val="24"/>
          <w:szCs w:val="24"/>
        </w:rPr>
        <w:t>8</w:t>
      </w:r>
      <w:r w:rsidR="00631C4E" w:rsidRPr="00453A06">
        <w:rPr>
          <w:rFonts w:ascii="Times New Roman" w:hAnsi="Times New Roman"/>
          <w:sz w:val="24"/>
          <w:szCs w:val="24"/>
        </w:rPr>
        <w:t xml:space="preserve">. évben felhasznált földgázmennyiség, </w:t>
      </w:r>
      <w:r w:rsidR="00BA3989">
        <w:rPr>
          <w:rFonts w:ascii="Times New Roman" w:hAnsi="Times New Roman"/>
          <w:sz w:val="24"/>
          <w:szCs w:val="24"/>
        </w:rPr>
        <w:t xml:space="preserve">és </w:t>
      </w:r>
      <w:r w:rsidR="00631C4E" w:rsidRPr="00453A06">
        <w:rPr>
          <w:rFonts w:ascii="Times New Roman" w:hAnsi="Times New Roman"/>
          <w:sz w:val="24"/>
          <w:szCs w:val="24"/>
        </w:rPr>
        <w:t>a fö</w:t>
      </w:r>
      <w:r w:rsidR="009E1AEF" w:rsidRPr="00453A06">
        <w:rPr>
          <w:rFonts w:ascii="Times New Roman" w:hAnsi="Times New Roman"/>
          <w:sz w:val="24"/>
          <w:szCs w:val="24"/>
        </w:rPr>
        <w:t>ldgázszolgáltató 201</w:t>
      </w:r>
      <w:r w:rsidR="00946339">
        <w:rPr>
          <w:rFonts w:ascii="Times New Roman" w:hAnsi="Times New Roman"/>
          <w:sz w:val="24"/>
          <w:szCs w:val="24"/>
        </w:rPr>
        <w:t>9</w:t>
      </w:r>
      <w:r w:rsidR="009E1AEF" w:rsidRPr="00453A06">
        <w:rPr>
          <w:rFonts w:ascii="Times New Roman" w:hAnsi="Times New Roman"/>
          <w:sz w:val="24"/>
          <w:szCs w:val="24"/>
        </w:rPr>
        <w:t xml:space="preserve">. </w:t>
      </w:r>
      <w:r w:rsidR="00D615A2">
        <w:rPr>
          <w:rFonts w:ascii="Times New Roman" w:hAnsi="Times New Roman"/>
          <w:sz w:val="24"/>
          <w:szCs w:val="24"/>
        </w:rPr>
        <w:t>évi</w:t>
      </w:r>
      <w:r w:rsidR="009E1AEF" w:rsidRPr="00453A06">
        <w:rPr>
          <w:rFonts w:ascii="Times New Roman" w:hAnsi="Times New Roman"/>
          <w:sz w:val="24"/>
          <w:szCs w:val="24"/>
        </w:rPr>
        <w:t xml:space="preserve"> </w:t>
      </w:r>
      <w:r w:rsidR="00204594">
        <w:rPr>
          <w:rFonts w:ascii="Times New Roman" w:hAnsi="Times New Roman"/>
          <w:sz w:val="24"/>
          <w:szCs w:val="24"/>
        </w:rPr>
        <w:t>földgáz</w:t>
      </w:r>
      <w:r w:rsidR="00631C4E" w:rsidRPr="00453A06">
        <w:rPr>
          <w:rFonts w:ascii="Times New Roman" w:hAnsi="Times New Roman"/>
          <w:sz w:val="24"/>
          <w:szCs w:val="24"/>
        </w:rPr>
        <w:t xml:space="preserve"> </w:t>
      </w:r>
      <w:r w:rsidR="001B28FC" w:rsidRPr="00453A06">
        <w:rPr>
          <w:rFonts w:ascii="Times New Roman" w:hAnsi="Times New Roman"/>
          <w:sz w:val="24"/>
          <w:szCs w:val="24"/>
        </w:rPr>
        <w:t>előrejelzése</w:t>
      </w:r>
      <w:r w:rsidR="009B5E6C">
        <w:rPr>
          <w:rFonts w:ascii="Times New Roman" w:hAnsi="Times New Roman"/>
          <w:sz w:val="24"/>
          <w:szCs w:val="24"/>
        </w:rPr>
        <w:t xml:space="preserve"> alapján került </w:t>
      </w:r>
      <w:r w:rsidR="001B28FC">
        <w:rPr>
          <w:rFonts w:ascii="Times New Roman" w:hAnsi="Times New Roman"/>
          <w:sz w:val="24"/>
          <w:szCs w:val="24"/>
        </w:rPr>
        <w:t>végrehajtásra</w:t>
      </w:r>
      <w:r w:rsidR="009B5E6C">
        <w:rPr>
          <w:rFonts w:ascii="Times New Roman" w:hAnsi="Times New Roman"/>
          <w:sz w:val="24"/>
          <w:szCs w:val="24"/>
        </w:rPr>
        <w:t>.</w:t>
      </w:r>
    </w:p>
    <w:p w:rsidR="00631C4E" w:rsidRDefault="00631C4E" w:rsidP="00631C4E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201</w:t>
      </w:r>
      <w:r w:rsidR="00946339">
        <w:rPr>
          <w:rFonts w:ascii="Times New Roman" w:hAnsi="Times New Roman"/>
          <w:sz w:val="24"/>
          <w:szCs w:val="24"/>
        </w:rPr>
        <w:t>9</w:t>
      </w:r>
      <w:r w:rsidRPr="00453A06">
        <w:rPr>
          <w:rFonts w:ascii="Times New Roman" w:hAnsi="Times New Roman"/>
          <w:sz w:val="24"/>
          <w:szCs w:val="24"/>
        </w:rPr>
        <w:t xml:space="preserve">. évben hőszolgáltatásra </w:t>
      </w:r>
      <w:r w:rsidR="00613142">
        <w:rPr>
          <w:rFonts w:ascii="Times New Roman" w:hAnsi="Times New Roman"/>
          <w:sz w:val="24"/>
          <w:szCs w:val="24"/>
        </w:rPr>
        <w:t xml:space="preserve">és villamosenergia termelésre </w:t>
      </w:r>
      <w:r w:rsidRPr="00453A06">
        <w:rPr>
          <w:rFonts w:ascii="Times New Roman" w:hAnsi="Times New Roman"/>
          <w:sz w:val="24"/>
          <w:szCs w:val="24"/>
        </w:rPr>
        <w:t>felhasználásra kerülő földgáz költsége:</w:t>
      </w:r>
      <w:r w:rsidR="00613142">
        <w:rPr>
          <w:rFonts w:ascii="Times New Roman" w:hAnsi="Times New Roman"/>
          <w:sz w:val="24"/>
          <w:szCs w:val="24"/>
        </w:rPr>
        <w:t xml:space="preserve"> </w:t>
      </w:r>
      <w:r w:rsidR="00946339">
        <w:rPr>
          <w:rFonts w:ascii="Times New Roman" w:hAnsi="Times New Roman"/>
          <w:sz w:val="24"/>
          <w:szCs w:val="24"/>
        </w:rPr>
        <w:t>570</w:t>
      </w:r>
      <w:r w:rsidR="009B5E6C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042</w:t>
      </w:r>
      <w:r w:rsidR="009B5E6C">
        <w:rPr>
          <w:rFonts w:ascii="Times New Roman" w:hAnsi="Times New Roman"/>
          <w:sz w:val="24"/>
          <w:szCs w:val="24"/>
        </w:rPr>
        <w:t xml:space="preserve"> </w:t>
      </w:r>
      <w:r w:rsidR="0059019A">
        <w:rPr>
          <w:rFonts w:ascii="Times New Roman" w:hAnsi="Times New Roman"/>
          <w:sz w:val="24"/>
          <w:szCs w:val="24"/>
        </w:rPr>
        <w:t>000</w:t>
      </w:r>
      <w:r w:rsidRPr="00453A06">
        <w:rPr>
          <w:rFonts w:ascii="Times New Roman" w:hAnsi="Times New Roman"/>
          <w:sz w:val="24"/>
          <w:szCs w:val="24"/>
        </w:rPr>
        <w:t xml:space="preserve"> Ft</w:t>
      </w:r>
      <w:r w:rsidR="00613142">
        <w:rPr>
          <w:rFonts w:ascii="Times New Roman" w:hAnsi="Times New Roman"/>
          <w:sz w:val="24"/>
          <w:szCs w:val="24"/>
        </w:rPr>
        <w:t>.</w:t>
      </w:r>
    </w:p>
    <w:p w:rsidR="00053DA7" w:rsidRDefault="00053DA7" w:rsidP="00631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hőtermeléssel és szolgáltatással összefüggésben meghatározó költség a</w:t>
      </w:r>
      <w:r w:rsidR="00CA0E3A">
        <w:rPr>
          <w:rFonts w:ascii="Times New Roman" w:hAnsi="Times New Roman"/>
          <w:sz w:val="24"/>
          <w:szCs w:val="24"/>
        </w:rPr>
        <w:t xml:space="preserve"> víz és</w:t>
      </w:r>
      <w:r>
        <w:rPr>
          <w:rFonts w:ascii="Times New Roman" w:hAnsi="Times New Roman"/>
          <w:sz w:val="24"/>
          <w:szCs w:val="24"/>
        </w:rPr>
        <w:t xml:space="preserve"> villamos energia á</w:t>
      </w:r>
      <w:r w:rsidR="00CA0E3A">
        <w:rPr>
          <w:rFonts w:ascii="Times New Roman" w:hAnsi="Times New Roman"/>
          <w:sz w:val="24"/>
          <w:szCs w:val="24"/>
        </w:rPr>
        <w:t>ram és rendszerhasználati díja.</w:t>
      </w:r>
    </w:p>
    <w:p w:rsidR="00CA0E3A" w:rsidRDefault="00D615A2" w:rsidP="00631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vízköltség éves szinten </w:t>
      </w:r>
      <w:r w:rsidR="00946339">
        <w:rPr>
          <w:rFonts w:ascii="Times New Roman" w:hAnsi="Times New Roman"/>
          <w:sz w:val="24"/>
          <w:szCs w:val="24"/>
        </w:rPr>
        <w:t>62</w:t>
      </w:r>
      <w:r w:rsidR="00CA0E3A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="00CA0E3A">
        <w:rPr>
          <w:rFonts w:ascii="Times New Roman" w:hAnsi="Times New Roman"/>
          <w:sz w:val="24"/>
          <w:szCs w:val="24"/>
        </w:rPr>
        <w:t> 000 Ft.</w:t>
      </w:r>
    </w:p>
    <w:p w:rsidR="00CA0E3A" w:rsidRDefault="00053DA7" w:rsidP="00631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áram</w:t>
      </w:r>
      <w:r w:rsidR="009B5E6C">
        <w:rPr>
          <w:rFonts w:ascii="Times New Roman" w:hAnsi="Times New Roman"/>
          <w:sz w:val="24"/>
          <w:szCs w:val="24"/>
        </w:rPr>
        <w:t xml:space="preserve"> és rendszerhasználati</w:t>
      </w:r>
      <w:r>
        <w:rPr>
          <w:rFonts w:ascii="Times New Roman" w:hAnsi="Times New Roman"/>
          <w:sz w:val="24"/>
          <w:szCs w:val="24"/>
        </w:rPr>
        <w:t xml:space="preserve"> </w:t>
      </w:r>
      <w:r w:rsidR="009B5E6C">
        <w:rPr>
          <w:rFonts w:ascii="Times New Roman" w:hAnsi="Times New Roman"/>
          <w:sz w:val="24"/>
          <w:szCs w:val="24"/>
        </w:rPr>
        <w:t xml:space="preserve">díj </w:t>
      </w:r>
      <w:r>
        <w:rPr>
          <w:rFonts w:ascii="Times New Roman" w:hAnsi="Times New Roman"/>
          <w:sz w:val="24"/>
          <w:szCs w:val="24"/>
        </w:rPr>
        <w:t xml:space="preserve">éves szinten </w:t>
      </w:r>
      <w:r w:rsidR="00613142">
        <w:rPr>
          <w:rFonts w:ascii="Times New Roman" w:hAnsi="Times New Roman"/>
          <w:sz w:val="24"/>
          <w:szCs w:val="24"/>
        </w:rPr>
        <w:t>2</w:t>
      </w:r>
      <w:r w:rsidR="00946339">
        <w:rPr>
          <w:rFonts w:ascii="Times New Roman" w:hAnsi="Times New Roman"/>
          <w:sz w:val="24"/>
          <w:szCs w:val="24"/>
        </w:rPr>
        <w:t>5</w:t>
      </w:r>
      <w:r w:rsidR="00597A23">
        <w:rPr>
          <w:rFonts w:ascii="Times New Roman" w:hAnsi="Times New Roman"/>
          <w:sz w:val="24"/>
          <w:szCs w:val="24"/>
        </w:rPr>
        <w:t> </w:t>
      </w:r>
      <w:r w:rsidR="00946339">
        <w:rPr>
          <w:rFonts w:ascii="Times New Roman" w:hAnsi="Times New Roman"/>
          <w:sz w:val="24"/>
          <w:szCs w:val="24"/>
        </w:rPr>
        <w:t>500</w:t>
      </w:r>
      <w:r w:rsidR="00597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Ft</w:t>
      </w:r>
      <w:r w:rsidR="009B5E6C">
        <w:rPr>
          <w:rFonts w:ascii="Times New Roman" w:hAnsi="Times New Roman"/>
          <w:sz w:val="24"/>
          <w:szCs w:val="24"/>
        </w:rPr>
        <w:t>.</w:t>
      </w:r>
    </w:p>
    <w:p w:rsidR="00CD1620" w:rsidRDefault="00CD1620" w:rsidP="009E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Jelentős változást eredményez</w:t>
      </w:r>
      <w:r w:rsidR="00597A23">
        <w:rPr>
          <w:rFonts w:ascii="Times New Roman" w:eastAsia="Times New Roman" w:hAnsi="Times New Roman"/>
          <w:sz w:val="24"/>
          <w:szCs w:val="24"/>
        </w:rPr>
        <w:t>ett</w:t>
      </w:r>
      <w:r>
        <w:rPr>
          <w:rFonts w:ascii="Times New Roman" w:eastAsia="Times New Roman" w:hAnsi="Times New Roman"/>
          <w:sz w:val="24"/>
          <w:szCs w:val="24"/>
        </w:rPr>
        <w:t xml:space="preserve"> Társaságunk </w:t>
      </w:r>
      <w:r w:rsidRPr="00304D43">
        <w:rPr>
          <w:rFonts w:ascii="Times New Roman" w:eastAsia="Times New Roman" w:hAnsi="Times New Roman"/>
          <w:b/>
          <w:sz w:val="24"/>
          <w:szCs w:val="24"/>
        </w:rPr>
        <w:t xml:space="preserve">hulladékgazdálkodási </w:t>
      </w:r>
      <w:r w:rsidRPr="009B5E6C">
        <w:rPr>
          <w:rFonts w:ascii="Times New Roman" w:eastAsia="Times New Roman" w:hAnsi="Times New Roman"/>
          <w:b/>
          <w:sz w:val="24"/>
          <w:szCs w:val="24"/>
        </w:rPr>
        <w:t>tevékenységében</w:t>
      </w:r>
      <w:r>
        <w:rPr>
          <w:rFonts w:ascii="Times New Roman" w:eastAsia="Times New Roman" w:hAnsi="Times New Roman"/>
          <w:sz w:val="24"/>
          <w:szCs w:val="24"/>
        </w:rPr>
        <w:t xml:space="preserve"> az új hulladék törvény</w:t>
      </w:r>
      <w:r w:rsidR="00820218">
        <w:rPr>
          <w:rFonts w:ascii="Times New Roman" w:eastAsia="Times New Roman" w:hAnsi="Times New Roman"/>
          <w:sz w:val="24"/>
          <w:szCs w:val="24"/>
        </w:rPr>
        <w:t>.</w:t>
      </w:r>
    </w:p>
    <w:p w:rsidR="00C24D7A" w:rsidRPr="002E5060" w:rsidRDefault="00F11700" w:rsidP="002E5060">
      <w:pPr>
        <w:jc w:val="both"/>
        <w:rPr>
          <w:rFonts w:ascii="Times New Roman" w:hAnsi="Times New Roman"/>
          <w:sz w:val="24"/>
          <w:szCs w:val="24"/>
        </w:rPr>
      </w:pPr>
      <w:r w:rsidRPr="00751D42">
        <w:rPr>
          <w:rFonts w:ascii="Times New Roman" w:hAnsi="Times New Roman"/>
          <w:sz w:val="24"/>
          <w:szCs w:val="24"/>
        </w:rPr>
        <w:t>A nonprofit társaság működéséhez szükséges eszközök, ingatlanok a jogelőd Várpalotai Köz</w:t>
      </w:r>
      <w:r w:rsidR="00946339">
        <w:rPr>
          <w:rFonts w:ascii="Times New Roman" w:hAnsi="Times New Roman"/>
          <w:sz w:val="24"/>
          <w:szCs w:val="24"/>
        </w:rPr>
        <w:t xml:space="preserve">szolgáltató Nonprofit </w:t>
      </w:r>
      <w:r w:rsidRPr="00751D42">
        <w:rPr>
          <w:rFonts w:ascii="Times New Roman" w:hAnsi="Times New Roman"/>
          <w:sz w:val="24"/>
          <w:szCs w:val="24"/>
        </w:rPr>
        <w:t>Kft.-nél rendelkezésre állnak, a tevékenység ellátására alkalmas</w:t>
      </w:r>
      <w:r w:rsidR="00A845EB">
        <w:rPr>
          <w:rFonts w:ascii="Times New Roman" w:hAnsi="Times New Roman"/>
          <w:sz w:val="24"/>
          <w:szCs w:val="24"/>
        </w:rPr>
        <w:t>ak</w:t>
      </w:r>
      <w:r w:rsidRPr="00751D42">
        <w:rPr>
          <w:rFonts w:ascii="Times New Roman" w:hAnsi="Times New Roman"/>
          <w:sz w:val="24"/>
          <w:szCs w:val="24"/>
        </w:rPr>
        <w:t xml:space="preserve">, az igénybevételük </w:t>
      </w:r>
      <w:r w:rsidR="002E5060">
        <w:rPr>
          <w:rFonts w:ascii="Times New Roman" w:hAnsi="Times New Roman"/>
          <w:sz w:val="24"/>
          <w:szCs w:val="24"/>
        </w:rPr>
        <w:t xml:space="preserve">feltételeit </w:t>
      </w:r>
      <w:r w:rsidRPr="00751D42">
        <w:rPr>
          <w:rFonts w:ascii="Times New Roman" w:hAnsi="Times New Roman"/>
          <w:sz w:val="24"/>
          <w:szCs w:val="24"/>
        </w:rPr>
        <w:t xml:space="preserve">szerződés </w:t>
      </w:r>
      <w:r w:rsidR="002E5060">
        <w:rPr>
          <w:rFonts w:ascii="Times New Roman" w:hAnsi="Times New Roman"/>
          <w:sz w:val="24"/>
          <w:szCs w:val="24"/>
        </w:rPr>
        <w:t>határozza meg</w:t>
      </w:r>
      <w:r w:rsidRPr="00751D42">
        <w:rPr>
          <w:rFonts w:ascii="Times New Roman" w:hAnsi="Times New Roman"/>
          <w:sz w:val="24"/>
          <w:szCs w:val="24"/>
        </w:rPr>
        <w:t>.</w:t>
      </w:r>
      <w:r w:rsidR="002E5060">
        <w:rPr>
          <w:rFonts w:ascii="Times New Roman" w:hAnsi="Times New Roman"/>
          <w:sz w:val="24"/>
          <w:szCs w:val="24"/>
        </w:rPr>
        <w:t xml:space="preserve"> </w:t>
      </w:r>
      <w:r w:rsidRPr="00751D42">
        <w:rPr>
          <w:rFonts w:ascii="Times New Roman" w:hAnsi="Times New Roman"/>
          <w:sz w:val="24"/>
          <w:szCs w:val="24"/>
        </w:rPr>
        <w:t>A nonprofit gazdasági társaság ügyviteli, könyvviteli, pénzügyi, számlázási tevékenységét szolgáltatásként a Várpalotai Köz</w:t>
      </w:r>
      <w:r w:rsidR="00946339">
        <w:rPr>
          <w:rFonts w:ascii="Times New Roman" w:hAnsi="Times New Roman"/>
          <w:sz w:val="24"/>
          <w:szCs w:val="24"/>
        </w:rPr>
        <w:t>szolgáltató Nonprofit</w:t>
      </w:r>
      <w:r w:rsidRPr="00751D42">
        <w:rPr>
          <w:rFonts w:ascii="Times New Roman" w:hAnsi="Times New Roman"/>
          <w:sz w:val="24"/>
          <w:szCs w:val="24"/>
        </w:rPr>
        <w:t xml:space="preserve"> Kft. szerződé</w:t>
      </w:r>
      <w:r w:rsidR="00B525C2">
        <w:rPr>
          <w:rFonts w:ascii="Times New Roman" w:hAnsi="Times New Roman"/>
          <w:sz w:val="24"/>
          <w:szCs w:val="24"/>
        </w:rPr>
        <w:t>ses jogviszony keretében végzi.</w:t>
      </w:r>
      <w:r w:rsidR="00C24D7A">
        <w:rPr>
          <w:rFonts w:ascii="Times New Roman" w:hAnsi="Times New Roman"/>
          <w:sz w:val="24"/>
          <w:szCs w:val="24"/>
        </w:rPr>
        <w:t xml:space="preserve"> A hulladék törvény további változása és a koordináló Társaság tevékenységének megkezdése kapcsán felülvizsgálatra került a vállalkozói díj elszámolása, amely az alábbiak szerint befolyásolja a Társaság árbevételét. A jogszabályi változás közvetetten a Nonprofit Társaság tevékenységének felmerült jelentősebb mértékű változásával hatással lehet a Várpalotai Köz</w:t>
      </w:r>
      <w:r w:rsidR="002A3114">
        <w:rPr>
          <w:rFonts w:ascii="Times New Roman" w:hAnsi="Times New Roman"/>
          <w:sz w:val="24"/>
          <w:szCs w:val="24"/>
        </w:rPr>
        <w:t>szolgáltató Nonprofit</w:t>
      </w:r>
      <w:r w:rsidR="00C24D7A">
        <w:rPr>
          <w:rFonts w:ascii="Times New Roman" w:hAnsi="Times New Roman"/>
          <w:sz w:val="24"/>
          <w:szCs w:val="24"/>
        </w:rPr>
        <w:t xml:space="preserve"> Kft. tevékenységére is.</w:t>
      </w:r>
    </w:p>
    <w:p w:rsidR="009820F2" w:rsidRDefault="00BB58C6" w:rsidP="0046204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</w:t>
      </w:r>
      <w:r w:rsidR="002A3114">
        <w:rPr>
          <w:rFonts w:ascii="Times New Roman" w:eastAsia="Times New Roman" w:hAnsi="Times New Roman"/>
          <w:sz w:val="24"/>
          <w:szCs w:val="24"/>
        </w:rPr>
        <w:t>9</w:t>
      </w:r>
      <w:r w:rsidR="009820F2" w:rsidRPr="009820F2">
        <w:rPr>
          <w:rFonts w:ascii="Times New Roman" w:eastAsia="Times New Roman" w:hAnsi="Times New Roman"/>
          <w:sz w:val="24"/>
          <w:szCs w:val="24"/>
        </w:rPr>
        <w:t>. évben a</w:t>
      </w:r>
      <w:r w:rsidR="002E5060">
        <w:rPr>
          <w:rFonts w:ascii="Times New Roman" w:eastAsia="Times New Roman" w:hAnsi="Times New Roman"/>
          <w:sz w:val="24"/>
          <w:szCs w:val="24"/>
        </w:rPr>
        <w:t xml:space="preserve"> Társaság</w:t>
      </w:r>
      <w:r w:rsidR="009820F2" w:rsidRPr="009820F2">
        <w:rPr>
          <w:rFonts w:ascii="Times New Roman" w:eastAsia="Times New Roman" w:hAnsi="Times New Roman"/>
          <w:sz w:val="24"/>
          <w:szCs w:val="24"/>
        </w:rPr>
        <w:t xml:space="preserve"> hulladékgazdálkodás</w:t>
      </w:r>
      <w:r w:rsidR="002E5060">
        <w:rPr>
          <w:rFonts w:ascii="Times New Roman" w:eastAsia="Times New Roman" w:hAnsi="Times New Roman"/>
          <w:sz w:val="24"/>
          <w:szCs w:val="24"/>
        </w:rPr>
        <w:t>i</w:t>
      </w:r>
      <w:r w:rsidR="003F00D6">
        <w:rPr>
          <w:rFonts w:ascii="Times New Roman" w:eastAsia="Times New Roman" w:hAnsi="Times New Roman"/>
          <w:sz w:val="24"/>
          <w:szCs w:val="24"/>
        </w:rPr>
        <w:t xml:space="preserve"> tevékenységéből származó</w:t>
      </w:r>
      <w:r w:rsidR="0015343D">
        <w:rPr>
          <w:rFonts w:ascii="Times New Roman" w:eastAsia="Times New Roman" w:hAnsi="Times New Roman"/>
          <w:sz w:val="24"/>
          <w:szCs w:val="24"/>
        </w:rPr>
        <w:t xml:space="preserve"> árbevétel szerkezete</w:t>
      </w:r>
      <w:r w:rsidR="003F00D6">
        <w:rPr>
          <w:rFonts w:ascii="Times New Roman" w:eastAsia="Times New Roman" w:hAnsi="Times New Roman"/>
          <w:sz w:val="24"/>
          <w:szCs w:val="24"/>
        </w:rPr>
        <w:t xml:space="preserve"> </w:t>
      </w:r>
      <w:r w:rsidR="0015343D">
        <w:rPr>
          <w:rFonts w:ascii="Times New Roman" w:eastAsia="Times New Roman" w:hAnsi="Times New Roman"/>
          <w:sz w:val="24"/>
          <w:szCs w:val="24"/>
        </w:rPr>
        <w:t>az előbbiekben vázolt változások miatt átalakult.</w:t>
      </w:r>
    </w:p>
    <w:p w:rsidR="00497678" w:rsidRDefault="00497678" w:rsidP="0015343D">
      <w:pPr>
        <w:ind w:firstLine="6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Veszélyes hulladékszállítás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C017F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2A3114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> </w:t>
      </w:r>
      <w:r w:rsidR="002A3114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00 000 Ft</w:t>
      </w:r>
    </w:p>
    <w:p w:rsidR="009820F2" w:rsidRDefault="00BB58C6" w:rsidP="009820F2">
      <w:pPr>
        <w:ind w:firstLine="6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24D7A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özületes</w:t>
      </w:r>
      <w:r w:rsidR="0015343D">
        <w:rPr>
          <w:rFonts w:ascii="Times New Roman" w:eastAsia="Times New Roman" w:hAnsi="Times New Roman"/>
          <w:sz w:val="24"/>
          <w:szCs w:val="24"/>
        </w:rPr>
        <w:t xml:space="preserve"> konténeres</w:t>
      </w:r>
      <w:r>
        <w:rPr>
          <w:rFonts w:ascii="Times New Roman" w:eastAsia="Times New Roman" w:hAnsi="Times New Roman"/>
          <w:sz w:val="24"/>
          <w:szCs w:val="24"/>
        </w:rPr>
        <w:t xml:space="preserve"> hulladékszállítás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820F2">
        <w:rPr>
          <w:rFonts w:ascii="Times New Roman" w:eastAsia="Times New Roman" w:hAnsi="Times New Roman"/>
          <w:sz w:val="24"/>
          <w:szCs w:val="24"/>
        </w:rPr>
        <w:t xml:space="preserve"> </w:t>
      </w:r>
      <w:r w:rsidR="00497678">
        <w:rPr>
          <w:rFonts w:ascii="Times New Roman" w:eastAsia="Times New Roman" w:hAnsi="Times New Roman"/>
          <w:sz w:val="24"/>
          <w:szCs w:val="24"/>
        </w:rPr>
        <w:tab/>
      </w:r>
      <w:r w:rsidR="002A3114">
        <w:rPr>
          <w:rFonts w:ascii="Times New Roman" w:eastAsia="Times New Roman" w:hAnsi="Times New Roman"/>
          <w:sz w:val="24"/>
          <w:szCs w:val="24"/>
        </w:rPr>
        <w:t>29</w:t>
      </w:r>
      <w:r w:rsidR="0015343D">
        <w:rPr>
          <w:rFonts w:ascii="Times New Roman" w:eastAsia="Times New Roman" w:hAnsi="Times New Roman"/>
          <w:sz w:val="24"/>
          <w:szCs w:val="24"/>
        </w:rPr>
        <w:t> </w:t>
      </w:r>
      <w:r w:rsidR="00D133A9">
        <w:rPr>
          <w:rFonts w:ascii="Times New Roman" w:eastAsia="Times New Roman" w:hAnsi="Times New Roman"/>
          <w:sz w:val="24"/>
          <w:szCs w:val="24"/>
        </w:rPr>
        <w:t>0</w:t>
      </w:r>
      <w:r w:rsidR="002A3114">
        <w:rPr>
          <w:rFonts w:ascii="Times New Roman" w:eastAsia="Times New Roman" w:hAnsi="Times New Roman"/>
          <w:sz w:val="24"/>
          <w:szCs w:val="24"/>
        </w:rPr>
        <w:t>4</w:t>
      </w:r>
      <w:r w:rsidR="007D3984">
        <w:rPr>
          <w:rFonts w:ascii="Times New Roman" w:eastAsia="Times New Roman" w:hAnsi="Times New Roman"/>
          <w:sz w:val="24"/>
          <w:szCs w:val="24"/>
        </w:rPr>
        <w:t>0</w:t>
      </w:r>
      <w:r w:rsidR="00497678">
        <w:rPr>
          <w:rFonts w:ascii="Times New Roman" w:eastAsia="Times New Roman" w:hAnsi="Times New Roman"/>
          <w:sz w:val="24"/>
          <w:szCs w:val="24"/>
        </w:rPr>
        <w:t> </w:t>
      </w:r>
      <w:r w:rsidR="0015343D">
        <w:rPr>
          <w:rFonts w:ascii="Times New Roman" w:eastAsia="Times New Roman" w:hAnsi="Times New Roman"/>
          <w:sz w:val="24"/>
          <w:szCs w:val="24"/>
        </w:rPr>
        <w:t>000</w:t>
      </w:r>
      <w:r w:rsidR="00497678">
        <w:rPr>
          <w:rFonts w:ascii="Times New Roman" w:eastAsia="Times New Roman" w:hAnsi="Times New Roman"/>
          <w:sz w:val="24"/>
          <w:szCs w:val="24"/>
        </w:rPr>
        <w:t xml:space="preserve"> </w:t>
      </w:r>
      <w:r w:rsidR="009820F2">
        <w:rPr>
          <w:rFonts w:ascii="Times New Roman" w:eastAsia="Times New Roman" w:hAnsi="Times New Roman"/>
          <w:sz w:val="24"/>
          <w:szCs w:val="24"/>
        </w:rPr>
        <w:t>Ft</w:t>
      </w:r>
    </w:p>
    <w:p w:rsidR="0015343D" w:rsidRDefault="0015343D" w:rsidP="009820F2">
      <w:pPr>
        <w:ind w:firstLine="6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Honvédségi hulladékszállítás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2A3114">
        <w:rPr>
          <w:rFonts w:ascii="Times New Roman" w:eastAsia="Times New Roman" w:hAnsi="Times New Roman"/>
          <w:sz w:val="24"/>
          <w:szCs w:val="24"/>
        </w:rPr>
        <w:t>41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2A3114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00 000 Ft</w:t>
      </w:r>
    </w:p>
    <w:p w:rsidR="00497678" w:rsidRDefault="00BB58C6" w:rsidP="009820F2">
      <w:pPr>
        <w:ind w:firstLine="6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2A3114">
        <w:rPr>
          <w:rFonts w:ascii="Times New Roman" w:eastAsia="Times New Roman" w:hAnsi="Times New Roman"/>
          <w:sz w:val="24"/>
          <w:szCs w:val="24"/>
        </w:rPr>
        <w:t>Közszolgáltató</w:t>
      </w:r>
      <w:r w:rsidR="0015343D">
        <w:rPr>
          <w:rFonts w:ascii="Times New Roman" w:eastAsia="Times New Roman" w:hAnsi="Times New Roman"/>
          <w:sz w:val="24"/>
          <w:szCs w:val="24"/>
        </w:rPr>
        <w:t xml:space="preserve"> részére</w:t>
      </w:r>
      <w:r w:rsidR="00497678">
        <w:rPr>
          <w:rFonts w:ascii="Times New Roman" w:eastAsia="Times New Roman" w:hAnsi="Times New Roman"/>
          <w:sz w:val="24"/>
          <w:szCs w:val="24"/>
        </w:rPr>
        <w:t xml:space="preserve"> végzett </w:t>
      </w:r>
      <w:r w:rsidR="00C017F0">
        <w:rPr>
          <w:rFonts w:ascii="Times New Roman" w:eastAsia="Times New Roman" w:hAnsi="Times New Roman"/>
          <w:sz w:val="24"/>
          <w:szCs w:val="24"/>
        </w:rPr>
        <w:t xml:space="preserve">alvállalkozói </w:t>
      </w:r>
      <w:r w:rsidR="00497678">
        <w:rPr>
          <w:rFonts w:ascii="Times New Roman" w:eastAsia="Times New Roman" w:hAnsi="Times New Roman"/>
          <w:sz w:val="24"/>
          <w:szCs w:val="24"/>
        </w:rPr>
        <w:t>szolgáltatás</w:t>
      </w:r>
    </w:p>
    <w:p w:rsidR="00BB58C6" w:rsidRDefault="0015343D" w:rsidP="009820F2">
      <w:pPr>
        <w:ind w:firstLine="6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D39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szerződés alapján</w:t>
      </w:r>
      <w:r w:rsidR="00C017F0">
        <w:rPr>
          <w:rFonts w:ascii="Times New Roman" w:eastAsia="Times New Roman" w:hAnsi="Times New Roman"/>
          <w:sz w:val="24"/>
          <w:szCs w:val="24"/>
        </w:rPr>
        <w:tab/>
      </w:r>
      <w:r w:rsidR="00BB58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97678">
        <w:rPr>
          <w:rFonts w:ascii="Times New Roman" w:eastAsia="Times New Roman" w:hAnsi="Times New Roman"/>
          <w:sz w:val="24"/>
          <w:szCs w:val="24"/>
        </w:rPr>
        <w:tab/>
      </w:r>
      <w:r w:rsidR="00497678">
        <w:rPr>
          <w:rFonts w:ascii="Times New Roman" w:eastAsia="Times New Roman" w:hAnsi="Times New Roman"/>
          <w:sz w:val="24"/>
          <w:szCs w:val="24"/>
        </w:rPr>
        <w:tab/>
      </w:r>
      <w:r w:rsidR="00497678">
        <w:rPr>
          <w:rFonts w:ascii="Times New Roman" w:eastAsia="Times New Roman" w:hAnsi="Times New Roman"/>
          <w:sz w:val="24"/>
          <w:szCs w:val="24"/>
        </w:rPr>
        <w:tab/>
      </w:r>
      <w:r w:rsidR="002A3114">
        <w:rPr>
          <w:rFonts w:ascii="Times New Roman" w:eastAsia="Times New Roman" w:hAnsi="Times New Roman"/>
          <w:sz w:val="24"/>
          <w:szCs w:val="24"/>
        </w:rPr>
        <w:t xml:space="preserve">          221</w:t>
      </w:r>
      <w:r w:rsidR="00BB58C6">
        <w:rPr>
          <w:rFonts w:ascii="Times New Roman" w:eastAsia="Times New Roman" w:hAnsi="Times New Roman"/>
          <w:sz w:val="24"/>
          <w:szCs w:val="24"/>
        </w:rPr>
        <w:t> </w:t>
      </w:r>
      <w:r w:rsidR="002A3114">
        <w:rPr>
          <w:rFonts w:ascii="Times New Roman" w:eastAsia="Times New Roman" w:hAnsi="Times New Roman"/>
          <w:sz w:val="24"/>
          <w:szCs w:val="24"/>
        </w:rPr>
        <w:t>872</w:t>
      </w:r>
      <w:r w:rsidR="00BB58C6">
        <w:rPr>
          <w:rFonts w:ascii="Times New Roman" w:eastAsia="Times New Roman" w:hAnsi="Times New Roman"/>
          <w:sz w:val="24"/>
          <w:szCs w:val="24"/>
        </w:rPr>
        <w:t> 000 Ft</w:t>
      </w:r>
    </w:p>
    <w:p w:rsidR="009820F2" w:rsidRPr="00651428" w:rsidRDefault="009820F2" w:rsidP="009820F2">
      <w:pPr>
        <w:ind w:firstLine="633"/>
        <w:rPr>
          <w:rFonts w:ascii="Times New Roman" w:eastAsia="Times New Roman" w:hAnsi="Times New Roman"/>
          <w:b/>
          <w:sz w:val="24"/>
          <w:szCs w:val="24"/>
        </w:rPr>
      </w:pPr>
      <w:r w:rsidRPr="00651428">
        <w:rPr>
          <w:rFonts w:ascii="Times New Roman" w:eastAsia="Times New Roman" w:hAnsi="Times New Roman"/>
          <w:b/>
          <w:sz w:val="24"/>
          <w:szCs w:val="24"/>
        </w:rPr>
        <w:t xml:space="preserve">Mindösszesen: </w:t>
      </w:r>
      <w:r w:rsidRPr="00651428">
        <w:rPr>
          <w:rFonts w:ascii="Times New Roman" w:eastAsia="Times New Roman" w:hAnsi="Times New Roman"/>
          <w:b/>
          <w:sz w:val="24"/>
          <w:szCs w:val="24"/>
        </w:rPr>
        <w:tab/>
      </w:r>
      <w:r w:rsidRPr="00651428">
        <w:rPr>
          <w:rFonts w:ascii="Times New Roman" w:eastAsia="Times New Roman" w:hAnsi="Times New Roman"/>
          <w:b/>
          <w:sz w:val="24"/>
          <w:szCs w:val="24"/>
        </w:rPr>
        <w:tab/>
      </w:r>
      <w:r w:rsidRPr="00651428">
        <w:rPr>
          <w:rFonts w:ascii="Times New Roman" w:eastAsia="Times New Roman" w:hAnsi="Times New Roman"/>
          <w:b/>
          <w:sz w:val="24"/>
          <w:szCs w:val="24"/>
        </w:rPr>
        <w:tab/>
      </w:r>
      <w:r w:rsidR="00BB58C6" w:rsidRPr="00651428">
        <w:rPr>
          <w:rFonts w:ascii="Times New Roman" w:eastAsia="Times New Roman" w:hAnsi="Times New Roman"/>
          <w:b/>
          <w:sz w:val="24"/>
          <w:szCs w:val="24"/>
        </w:rPr>
        <w:tab/>
      </w:r>
      <w:r w:rsidR="00981A26" w:rsidRPr="00651428">
        <w:rPr>
          <w:rFonts w:ascii="Times New Roman" w:eastAsia="Times New Roman" w:hAnsi="Times New Roman"/>
          <w:b/>
          <w:sz w:val="24"/>
          <w:szCs w:val="24"/>
        </w:rPr>
        <w:tab/>
      </w:r>
      <w:r w:rsidR="00981A26" w:rsidRPr="00651428">
        <w:rPr>
          <w:rFonts w:ascii="Times New Roman" w:eastAsia="Times New Roman" w:hAnsi="Times New Roman"/>
          <w:b/>
          <w:sz w:val="24"/>
          <w:szCs w:val="24"/>
        </w:rPr>
        <w:tab/>
      </w:r>
      <w:r w:rsidR="007B6558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2A3114">
        <w:rPr>
          <w:rFonts w:ascii="Times New Roman" w:eastAsia="Times New Roman" w:hAnsi="Times New Roman"/>
          <w:b/>
          <w:sz w:val="24"/>
          <w:szCs w:val="24"/>
        </w:rPr>
        <w:t>294</w:t>
      </w:r>
      <w:r w:rsidRPr="00651428">
        <w:rPr>
          <w:rFonts w:ascii="Times New Roman" w:eastAsia="Times New Roman" w:hAnsi="Times New Roman"/>
          <w:b/>
          <w:sz w:val="24"/>
          <w:szCs w:val="24"/>
        </w:rPr>
        <w:t> </w:t>
      </w:r>
      <w:r w:rsidR="002A3114">
        <w:rPr>
          <w:rFonts w:ascii="Times New Roman" w:eastAsia="Times New Roman" w:hAnsi="Times New Roman"/>
          <w:b/>
          <w:sz w:val="24"/>
          <w:szCs w:val="24"/>
        </w:rPr>
        <w:t>312</w:t>
      </w:r>
      <w:r w:rsidRPr="00651428">
        <w:rPr>
          <w:rFonts w:ascii="Times New Roman" w:eastAsia="Times New Roman" w:hAnsi="Times New Roman"/>
          <w:b/>
          <w:sz w:val="24"/>
          <w:szCs w:val="24"/>
        </w:rPr>
        <w:t> 000 Ft</w:t>
      </w:r>
    </w:p>
    <w:p w:rsidR="00C97947" w:rsidRPr="00453A06" w:rsidRDefault="00F4417C" w:rsidP="00015E52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A városüzemeltetési feladatok jelentős részét az önkormányzat által átadott kötelező feladatok alkotják. </w:t>
      </w:r>
      <w:r>
        <w:rPr>
          <w:rFonts w:ascii="Times New Roman" w:hAnsi="Times New Roman"/>
          <w:sz w:val="24"/>
          <w:szCs w:val="24"/>
        </w:rPr>
        <w:t xml:space="preserve">Az idei évben várhatóan nagyobb, mintegy </w:t>
      </w:r>
      <w:r w:rsidR="003A4F0F">
        <w:rPr>
          <w:rFonts w:ascii="Times New Roman" w:hAnsi="Times New Roman"/>
          <w:sz w:val="24"/>
          <w:szCs w:val="24"/>
        </w:rPr>
        <w:t>5</w:t>
      </w:r>
      <w:r w:rsidR="00C017F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C017F0">
        <w:rPr>
          <w:rFonts w:ascii="Times New Roman" w:hAnsi="Times New Roman"/>
          <w:sz w:val="24"/>
          <w:szCs w:val="24"/>
        </w:rPr>
        <w:t>092</w:t>
      </w:r>
      <w:r>
        <w:rPr>
          <w:rFonts w:ascii="Times New Roman" w:hAnsi="Times New Roman"/>
          <w:sz w:val="24"/>
          <w:szCs w:val="24"/>
        </w:rPr>
        <w:t xml:space="preserve"> m</w:t>
      </w:r>
      <w:r w:rsidRPr="00A65D0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zöldterület kezelését, </w:t>
      </w:r>
      <w:r>
        <w:rPr>
          <w:rFonts w:ascii="Times New Roman" w:hAnsi="Times New Roman"/>
          <w:sz w:val="24"/>
          <w:szCs w:val="24"/>
        </w:rPr>
        <w:lastRenderedPageBreak/>
        <w:t>parkgondozási, fűnyírási munkáit végezzük. A virágágyak fenntartását, egy és kétnyáriak kiültetését, gondozását, 1</w:t>
      </w:r>
      <w:r w:rsidR="00C017F0">
        <w:rPr>
          <w:rFonts w:ascii="Times New Roman" w:hAnsi="Times New Roman"/>
          <w:sz w:val="24"/>
          <w:szCs w:val="24"/>
        </w:rPr>
        <w:t xml:space="preserve"> 415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C26A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-en, mintegy 40 000 növénnyel tervezzük. Az önkormányzat illetékeseivel egyeztetve, a szükséges, </w:t>
      </w:r>
      <w:proofErr w:type="spellStart"/>
      <w:r>
        <w:rPr>
          <w:rFonts w:ascii="Times New Roman" w:hAnsi="Times New Roman"/>
          <w:sz w:val="24"/>
          <w:szCs w:val="24"/>
        </w:rPr>
        <w:t>esete</w:t>
      </w:r>
      <w:r w:rsidR="00D133A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ként</w:t>
      </w:r>
      <w:proofErr w:type="spellEnd"/>
      <w:r>
        <w:rPr>
          <w:rFonts w:ascii="Times New Roman" w:hAnsi="Times New Roman"/>
          <w:sz w:val="24"/>
          <w:szCs w:val="24"/>
        </w:rPr>
        <w:t xml:space="preserve"> balesetveszélyes fakivágási, </w:t>
      </w:r>
      <w:proofErr w:type="spellStart"/>
      <w:r>
        <w:rPr>
          <w:rFonts w:ascii="Times New Roman" w:hAnsi="Times New Roman"/>
          <w:sz w:val="24"/>
          <w:szCs w:val="24"/>
        </w:rPr>
        <w:t>űrszelvényezési</w:t>
      </w:r>
      <w:proofErr w:type="spellEnd"/>
      <w:r>
        <w:rPr>
          <w:rFonts w:ascii="Times New Roman" w:hAnsi="Times New Roman"/>
          <w:sz w:val="24"/>
          <w:szCs w:val="24"/>
        </w:rPr>
        <w:t xml:space="preserve"> munkákat prioritásként kezelve végezzük. Az ebrendészeti tevékenységünk működési területét kiterjesztettük Berhida és Öskü közigazgatási területére is, így Társaságunk látja el a kóbor ebek, valamint az elhullott állatok begyűjtéséhez kapcsolódó feladatokat. </w:t>
      </w:r>
    </w:p>
    <w:p w:rsidR="009D7675" w:rsidRDefault="009D7675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A31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évre tervezett árbevétel a városüzemeltetési feladatok ellátásával kapcsolatban a következők. </w:t>
      </w:r>
    </w:p>
    <w:p w:rsidR="009D7675" w:rsidRDefault="009D7675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eb rendészeti tevékenység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49FD">
        <w:rPr>
          <w:rFonts w:ascii="Times New Roman" w:hAnsi="Times New Roman"/>
          <w:sz w:val="24"/>
          <w:szCs w:val="24"/>
        </w:rPr>
        <w:tab/>
      </w:r>
      <w:r w:rsidR="002E49FD">
        <w:rPr>
          <w:rFonts w:ascii="Times New Roman" w:hAnsi="Times New Roman"/>
          <w:sz w:val="24"/>
          <w:szCs w:val="24"/>
        </w:rPr>
        <w:tab/>
        <w:t xml:space="preserve"> </w:t>
      </w:r>
      <w:r w:rsidR="00815DF8">
        <w:rPr>
          <w:rFonts w:ascii="Times New Roman" w:hAnsi="Times New Roman"/>
          <w:sz w:val="24"/>
          <w:szCs w:val="24"/>
        </w:rPr>
        <w:t>1</w:t>
      </w:r>
      <w:r w:rsidR="00C017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</w:t>
      </w:r>
      <w:r w:rsidR="00C017F0">
        <w:rPr>
          <w:rFonts w:ascii="Times New Roman" w:hAnsi="Times New Roman"/>
          <w:sz w:val="24"/>
          <w:szCs w:val="24"/>
        </w:rPr>
        <w:t>2</w:t>
      </w:r>
      <w:r w:rsidR="005F5BB6">
        <w:rPr>
          <w:rFonts w:ascii="Times New Roman" w:hAnsi="Times New Roman"/>
          <w:sz w:val="24"/>
          <w:szCs w:val="24"/>
        </w:rPr>
        <w:t>0</w:t>
      </w:r>
      <w:r w:rsidR="002A31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000 Ft</w:t>
      </w:r>
    </w:p>
    <w:p w:rsidR="002E49FD" w:rsidRDefault="009D7675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414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emető üzemeltetési tevékenység</w:t>
      </w:r>
      <w:r w:rsidR="007E41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49FD">
        <w:rPr>
          <w:rFonts w:ascii="Times New Roman" w:hAnsi="Times New Roman"/>
          <w:sz w:val="24"/>
          <w:szCs w:val="24"/>
        </w:rPr>
        <w:tab/>
      </w:r>
      <w:r w:rsidR="002E49FD">
        <w:rPr>
          <w:rFonts w:ascii="Times New Roman" w:hAnsi="Times New Roman"/>
          <w:sz w:val="24"/>
          <w:szCs w:val="24"/>
        </w:rPr>
        <w:tab/>
      </w:r>
      <w:r w:rsidR="001E694B">
        <w:rPr>
          <w:rFonts w:ascii="Times New Roman" w:hAnsi="Times New Roman"/>
          <w:sz w:val="24"/>
          <w:szCs w:val="24"/>
        </w:rPr>
        <w:t xml:space="preserve"> </w:t>
      </w:r>
      <w:r w:rsidR="002A3114">
        <w:rPr>
          <w:rFonts w:ascii="Times New Roman" w:hAnsi="Times New Roman"/>
          <w:sz w:val="24"/>
          <w:szCs w:val="24"/>
        </w:rPr>
        <w:t>23</w:t>
      </w:r>
      <w:r w:rsidR="002E49FD">
        <w:rPr>
          <w:rFonts w:ascii="Times New Roman" w:hAnsi="Times New Roman"/>
          <w:sz w:val="24"/>
          <w:szCs w:val="24"/>
        </w:rPr>
        <w:t> </w:t>
      </w:r>
      <w:r w:rsidR="00C017F0">
        <w:rPr>
          <w:rFonts w:ascii="Times New Roman" w:hAnsi="Times New Roman"/>
          <w:sz w:val="24"/>
          <w:szCs w:val="24"/>
        </w:rPr>
        <w:t>5</w:t>
      </w:r>
      <w:r w:rsidR="00F4417C">
        <w:rPr>
          <w:rFonts w:ascii="Times New Roman" w:hAnsi="Times New Roman"/>
          <w:sz w:val="24"/>
          <w:szCs w:val="24"/>
        </w:rPr>
        <w:t>00</w:t>
      </w:r>
      <w:r w:rsidR="002E49FD">
        <w:rPr>
          <w:rFonts w:ascii="Times New Roman" w:hAnsi="Times New Roman"/>
          <w:sz w:val="24"/>
          <w:szCs w:val="24"/>
        </w:rPr>
        <w:t> 000 Ft</w:t>
      </w:r>
    </w:p>
    <w:p w:rsidR="002E49FD" w:rsidRDefault="002E49FD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Közú</w:t>
      </w:r>
      <w:r w:rsidR="001E694B">
        <w:rPr>
          <w:rFonts w:ascii="Times New Roman" w:hAnsi="Times New Roman"/>
          <w:sz w:val="24"/>
          <w:szCs w:val="24"/>
        </w:rPr>
        <w:t>t gépi és kézi takarítása</w:t>
      </w:r>
      <w:r w:rsidR="007E414C">
        <w:rPr>
          <w:rFonts w:ascii="Times New Roman" w:hAnsi="Times New Roman"/>
          <w:sz w:val="24"/>
          <w:szCs w:val="24"/>
        </w:rPr>
        <w:t>:</w:t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  <w:t xml:space="preserve">   </w:t>
      </w:r>
      <w:r w:rsidR="00C017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="00C017F0">
        <w:rPr>
          <w:rFonts w:ascii="Times New Roman" w:hAnsi="Times New Roman"/>
          <w:sz w:val="24"/>
          <w:szCs w:val="24"/>
        </w:rPr>
        <w:t>15</w:t>
      </w:r>
      <w:r w:rsidR="001E69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 Ft</w:t>
      </w:r>
    </w:p>
    <w:p w:rsidR="00E022F3" w:rsidRDefault="00E022F3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Zászlózás</w:t>
      </w:r>
      <w:r w:rsidR="007E414C">
        <w:rPr>
          <w:rFonts w:ascii="Times New Roman" w:hAnsi="Times New Roman"/>
          <w:sz w:val="24"/>
          <w:szCs w:val="24"/>
        </w:rPr>
        <w:t>:</w:t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</w:r>
      <w:r w:rsidR="007E414C">
        <w:rPr>
          <w:rFonts w:ascii="Times New Roman" w:hAnsi="Times New Roman"/>
          <w:sz w:val="24"/>
          <w:szCs w:val="24"/>
        </w:rPr>
        <w:tab/>
        <w:t xml:space="preserve">      </w:t>
      </w:r>
      <w:r w:rsidR="00C017F0">
        <w:rPr>
          <w:rFonts w:ascii="Times New Roman" w:hAnsi="Times New Roman"/>
          <w:sz w:val="24"/>
          <w:szCs w:val="24"/>
        </w:rPr>
        <w:t>6</w:t>
      </w:r>
      <w:r w:rsidR="002A311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 </w:t>
      </w:r>
      <w:r w:rsidR="00F441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Ft</w:t>
      </w:r>
    </w:p>
    <w:p w:rsidR="00815DF8" w:rsidRDefault="002E49FD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Belvárosi parkgondozási tevékenység</w:t>
      </w:r>
      <w:r w:rsidR="00815DF8">
        <w:rPr>
          <w:rFonts w:ascii="Times New Roman" w:hAnsi="Times New Roman"/>
          <w:sz w:val="24"/>
          <w:szCs w:val="24"/>
        </w:rPr>
        <w:t xml:space="preserve">, </w:t>
      </w:r>
    </w:p>
    <w:p w:rsidR="002E49FD" w:rsidRDefault="00815DF8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</w:t>
      </w:r>
      <w:r w:rsidR="002E49FD">
        <w:rPr>
          <w:rFonts w:ascii="Times New Roman" w:hAnsi="Times New Roman"/>
          <w:sz w:val="24"/>
          <w:szCs w:val="24"/>
        </w:rPr>
        <w:t xml:space="preserve">árosi </w:t>
      </w:r>
      <w:proofErr w:type="spellStart"/>
      <w:r w:rsidR="002E49FD">
        <w:rPr>
          <w:rFonts w:ascii="Times New Roman" w:hAnsi="Times New Roman"/>
          <w:sz w:val="24"/>
          <w:szCs w:val="24"/>
        </w:rPr>
        <w:t>űrszelvényezési</w:t>
      </w:r>
      <w:proofErr w:type="spellEnd"/>
      <w:r w:rsidR="002E49FD">
        <w:rPr>
          <w:rFonts w:ascii="Times New Roman" w:hAnsi="Times New Roman"/>
          <w:sz w:val="24"/>
          <w:szCs w:val="24"/>
        </w:rPr>
        <w:t xml:space="preserve">, fakivágási, fapótlási, </w:t>
      </w:r>
    </w:p>
    <w:p w:rsidR="002E49FD" w:rsidRDefault="00815DF8" w:rsidP="00B7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49FD">
        <w:rPr>
          <w:rFonts w:ascii="Times New Roman" w:hAnsi="Times New Roman"/>
          <w:sz w:val="24"/>
          <w:szCs w:val="24"/>
        </w:rPr>
        <w:t>sövénygondozási, növényvédelmi tevékenység</w:t>
      </w:r>
      <w:r w:rsidR="007E414C">
        <w:rPr>
          <w:rFonts w:ascii="Times New Roman" w:hAnsi="Times New Roman"/>
          <w:sz w:val="24"/>
          <w:szCs w:val="24"/>
        </w:rPr>
        <w:t>:</w:t>
      </w:r>
      <w:r w:rsidR="002E49FD">
        <w:rPr>
          <w:rFonts w:ascii="Times New Roman" w:hAnsi="Times New Roman"/>
          <w:sz w:val="24"/>
          <w:szCs w:val="24"/>
        </w:rPr>
        <w:tab/>
      </w:r>
      <w:r w:rsidR="002E49FD">
        <w:rPr>
          <w:rFonts w:ascii="Times New Roman" w:hAnsi="Times New Roman"/>
          <w:sz w:val="24"/>
          <w:szCs w:val="24"/>
        </w:rPr>
        <w:tab/>
        <w:t xml:space="preserve"> </w:t>
      </w:r>
      <w:r w:rsidR="00C017F0">
        <w:rPr>
          <w:rFonts w:ascii="Times New Roman" w:hAnsi="Times New Roman"/>
          <w:sz w:val="24"/>
          <w:szCs w:val="24"/>
        </w:rPr>
        <w:t>7</w:t>
      </w:r>
      <w:r w:rsidR="002A3114">
        <w:rPr>
          <w:rFonts w:ascii="Times New Roman" w:hAnsi="Times New Roman"/>
          <w:sz w:val="24"/>
          <w:szCs w:val="24"/>
        </w:rPr>
        <w:t>7</w:t>
      </w:r>
      <w:r w:rsidR="002E49FD">
        <w:rPr>
          <w:rFonts w:ascii="Times New Roman" w:hAnsi="Times New Roman"/>
          <w:sz w:val="24"/>
          <w:szCs w:val="24"/>
        </w:rPr>
        <w:t> </w:t>
      </w:r>
      <w:r w:rsidR="002A3114">
        <w:rPr>
          <w:rFonts w:ascii="Times New Roman" w:hAnsi="Times New Roman"/>
          <w:sz w:val="24"/>
          <w:szCs w:val="24"/>
        </w:rPr>
        <w:t>362</w:t>
      </w:r>
      <w:r w:rsidR="002E49FD">
        <w:rPr>
          <w:rFonts w:ascii="Times New Roman" w:hAnsi="Times New Roman"/>
          <w:sz w:val="24"/>
          <w:szCs w:val="24"/>
        </w:rPr>
        <w:t> 000 Ft</w:t>
      </w:r>
    </w:p>
    <w:p w:rsidR="00E022F3" w:rsidRDefault="00E022F3" w:rsidP="00E022F3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Hó és síkosság mentesítés</w:t>
      </w:r>
      <w:r w:rsidR="007E41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2A311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 </w:t>
      </w:r>
      <w:r w:rsidR="002A3114">
        <w:rPr>
          <w:rFonts w:ascii="Times New Roman" w:hAnsi="Times New Roman"/>
          <w:sz w:val="24"/>
          <w:szCs w:val="24"/>
        </w:rPr>
        <w:t>748</w:t>
      </w:r>
      <w:r>
        <w:rPr>
          <w:rFonts w:ascii="Times New Roman" w:hAnsi="Times New Roman"/>
          <w:sz w:val="24"/>
          <w:szCs w:val="24"/>
        </w:rPr>
        <w:t> 000 Ft</w:t>
      </w:r>
    </w:p>
    <w:p w:rsidR="009D7675" w:rsidRPr="007E414C" w:rsidRDefault="00F4417C" w:rsidP="00B7547D">
      <w:pPr>
        <w:jc w:val="both"/>
        <w:rPr>
          <w:rFonts w:ascii="Times New Roman" w:hAnsi="Times New Roman"/>
          <w:b/>
          <w:sz w:val="24"/>
          <w:szCs w:val="24"/>
        </w:rPr>
      </w:pPr>
      <w:r w:rsidRPr="007E414C">
        <w:rPr>
          <w:rFonts w:ascii="Times New Roman" w:hAnsi="Times New Roman"/>
          <w:b/>
          <w:sz w:val="24"/>
          <w:szCs w:val="24"/>
        </w:rPr>
        <w:t>Mindösszesen:</w:t>
      </w:r>
      <w:r w:rsidRPr="007E414C">
        <w:rPr>
          <w:rFonts w:ascii="Times New Roman" w:hAnsi="Times New Roman"/>
          <w:b/>
          <w:sz w:val="24"/>
          <w:szCs w:val="24"/>
        </w:rPr>
        <w:tab/>
      </w:r>
      <w:r w:rsidRPr="007E414C">
        <w:rPr>
          <w:rFonts w:ascii="Times New Roman" w:hAnsi="Times New Roman"/>
          <w:b/>
          <w:sz w:val="24"/>
          <w:szCs w:val="24"/>
        </w:rPr>
        <w:tab/>
      </w:r>
      <w:r w:rsidRPr="007E414C">
        <w:rPr>
          <w:rFonts w:ascii="Times New Roman" w:hAnsi="Times New Roman"/>
          <w:b/>
          <w:sz w:val="24"/>
          <w:szCs w:val="24"/>
        </w:rPr>
        <w:tab/>
      </w:r>
      <w:r w:rsidRPr="007E414C">
        <w:rPr>
          <w:rFonts w:ascii="Times New Roman" w:hAnsi="Times New Roman"/>
          <w:b/>
          <w:sz w:val="24"/>
          <w:szCs w:val="24"/>
        </w:rPr>
        <w:tab/>
      </w:r>
      <w:r w:rsidRPr="007E414C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="00C017F0">
        <w:rPr>
          <w:rFonts w:ascii="Times New Roman" w:hAnsi="Times New Roman"/>
          <w:b/>
          <w:sz w:val="24"/>
          <w:szCs w:val="24"/>
        </w:rPr>
        <w:t>4</w:t>
      </w:r>
      <w:r w:rsidR="002A3114">
        <w:rPr>
          <w:rFonts w:ascii="Times New Roman" w:hAnsi="Times New Roman"/>
          <w:b/>
          <w:sz w:val="24"/>
          <w:szCs w:val="24"/>
        </w:rPr>
        <w:t>9</w:t>
      </w:r>
      <w:r w:rsidR="00E022F3" w:rsidRPr="007E414C">
        <w:rPr>
          <w:rFonts w:ascii="Times New Roman" w:hAnsi="Times New Roman"/>
          <w:b/>
          <w:sz w:val="24"/>
          <w:szCs w:val="24"/>
        </w:rPr>
        <w:t> </w:t>
      </w:r>
      <w:r w:rsidR="002A3114">
        <w:rPr>
          <w:rFonts w:ascii="Times New Roman" w:hAnsi="Times New Roman"/>
          <w:b/>
          <w:sz w:val="24"/>
          <w:szCs w:val="24"/>
        </w:rPr>
        <w:t>595</w:t>
      </w:r>
      <w:r w:rsidR="00E022F3" w:rsidRPr="007E414C">
        <w:rPr>
          <w:rFonts w:ascii="Times New Roman" w:hAnsi="Times New Roman"/>
          <w:b/>
          <w:sz w:val="24"/>
          <w:szCs w:val="24"/>
        </w:rPr>
        <w:t xml:space="preserve"> </w:t>
      </w:r>
      <w:r w:rsidRPr="007E414C">
        <w:rPr>
          <w:rFonts w:ascii="Times New Roman" w:hAnsi="Times New Roman"/>
          <w:b/>
          <w:sz w:val="24"/>
          <w:szCs w:val="24"/>
        </w:rPr>
        <w:t>0</w:t>
      </w:r>
      <w:r w:rsidR="00E022F3" w:rsidRPr="007E414C">
        <w:rPr>
          <w:rFonts w:ascii="Times New Roman" w:hAnsi="Times New Roman"/>
          <w:b/>
          <w:sz w:val="24"/>
          <w:szCs w:val="24"/>
        </w:rPr>
        <w:t>00</w:t>
      </w:r>
      <w:r w:rsidR="002E49FD" w:rsidRPr="007E414C">
        <w:rPr>
          <w:rFonts w:ascii="Times New Roman" w:hAnsi="Times New Roman"/>
          <w:b/>
          <w:sz w:val="24"/>
          <w:szCs w:val="24"/>
        </w:rPr>
        <w:t xml:space="preserve"> Ft</w:t>
      </w:r>
      <w:r w:rsidR="009D7675" w:rsidRPr="007E414C">
        <w:rPr>
          <w:rFonts w:ascii="Times New Roman" w:hAnsi="Times New Roman"/>
          <w:b/>
          <w:sz w:val="24"/>
          <w:szCs w:val="24"/>
        </w:rPr>
        <w:t xml:space="preserve"> </w:t>
      </w:r>
    </w:p>
    <w:p w:rsidR="004D7B85" w:rsidRPr="00453A06" w:rsidRDefault="00C97947" w:rsidP="00E65DB0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A</w:t>
      </w:r>
      <w:r w:rsidR="00F769C2">
        <w:rPr>
          <w:rFonts w:ascii="Times New Roman" w:hAnsi="Times New Roman"/>
          <w:sz w:val="24"/>
          <w:szCs w:val="24"/>
        </w:rPr>
        <w:t xml:space="preserve">z </w:t>
      </w:r>
      <w:r w:rsidR="00F769C2" w:rsidRPr="00304D43">
        <w:rPr>
          <w:rFonts w:ascii="Times New Roman" w:hAnsi="Times New Roman"/>
          <w:b/>
          <w:sz w:val="24"/>
          <w:szCs w:val="24"/>
        </w:rPr>
        <w:t>építőipar</w:t>
      </w:r>
      <w:r w:rsidR="00F769C2">
        <w:rPr>
          <w:rFonts w:ascii="Times New Roman" w:hAnsi="Times New Roman"/>
          <w:sz w:val="24"/>
          <w:szCs w:val="24"/>
        </w:rPr>
        <w:t xml:space="preserve"> </w:t>
      </w:r>
      <w:r w:rsidRPr="00453A06">
        <w:rPr>
          <w:rFonts w:ascii="Times New Roman" w:hAnsi="Times New Roman"/>
          <w:sz w:val="24"/>
          <w:szCs w:val="24"/>
        </w:rPr>
        <w:t>201</w:t>
      </w:r>
      <w:r w:rsidR="002A3114">
        <w:rPr>
          <w:rFonts w:ascii="Times New Roman" w:hAnsi="Times New Roman"/>
          <w:sz w:val="24"/>
          <w:szCs w:val="24"/>
        </w:rPr>
        <w:t>9</w:t>
      </w:r>
      <w:r w:rsidRPr="00453A06">
        <w:rPr>
          <w:rFonts w:ascii="Times New Roman" w:hAnsi="Times New Roman"/>
          <w:sz w:val="24"/>
          <w:szCs w:val="24"/>
        </w:rPr>
        <w:t xml:space="preserve">. évi </w:t>
      </w:r>
      <w:r w:rsidR="007E414C">
        <w:rPr>
          <w:rFonts w:ascii="Times New Roman" w:hAnsi="Times New Roman"/>
          <w:sz w:val="24"/>
          <w:szCs w:val="24"/>
        </w:rPr>
        <w:t>m</w:t>
      </w:r>
      <w:r w:rsidRPr="00453A06">
        <w:rPr>
          <w:rFonts w:ascii="Times New Roman" w:hAnsi="Times New Roman"/>
          <w:sz w:val="24"/>
          <w:szCs w:val="24"/>
        </w:rPr>
        <w:t>unkáit a külső - vállalkozási tevékenységek alapján végzendő - munkák és a belső - saját beruházásban, társüzemi szolgáltatásként végzendő - feladatok adják. A külső munkákat két részre lehet bontani. Az első a már meglévő szerződések alapján végzendő feladatok a második a leadott árajánlatok alapján várható munkák</w:t>
      </w:r>
      <w:r w:rsidR="00985942" w:rsidRPr="00453A06">
        <w:rPr>
          <w:rFonts w:ascii="Times New Roman" w:hAnsi="Times New Roman"/>
          <w:sz w:val="24"/>
          <w:szCs w:val="24"/>
        </w:rPr>
        <w:t>, eseti megrendelések</w:t>
      </w:r>
      <w:r w:rsidRPr="00453A06">
        <w:rPr>
          <w:rFonts w:ascii="Times New Roman" w:hAnsi="Times New Roman"/>
          <w:sz w:val="24"/>
          <w:szCs w:val="24"/>
        </w:rPr>
        <w:t xml:space="preserve">. </w:t>
      </w:r>
      <w:r w:rsidR="004D7B85" w:rsidRPr="00453A06">
        <w:rPr>
          <w:rFonts w:ascii="Times New Roman" w:hAnsi="Times New Roman"/>
          <w:sz w:val="24"/>
          <w:szCs w:val="24"/>
        </w:rPr>
        <w:t>Társaságunk az építőipari munkák minőségi végrehajtása érdekében folyamatosan fejleszti a rendelkezésre álló munkaeszközöket.</w:t>
      </w:r>
    </w:p>
    <w:p w:rsidR="007E414C" w:rsidRPr="00453A06" w:rsidRDefault="007E414C" w:rsidP="007E414C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Az építőipari munkák legnagyobb részét az Önkormányzat által előirányzott munkák</w:t>
      </w:r>
      <w:r w:rsidR="00D133A9">
        <w:rPr>
          <w:rFonts w:ascii="Times New Roman" w:hAnsi="Times New Roman"/>
          <w:sz w:val="24"/>
          <w:szCs w:val="24"/>
        </w:rPr>
        <w:t>,</w:t>
      </w:r>
      <w:r w:rsidRPr="00453A06">
        <w:rPr>
          <w:rFonts w:ascii="Times New Roman" w:hAnsi="Times New Roman"/>
          <w:sz w:val="24"/>
          <w:szCs w:val="24"/>
        </w:rPr>
        <w:t xml:space="preserve"> illetve pályázatokon elnyert feladat</w:t>
      </w:r>
      <w:r>
        <w:rPr>
          <w:rFonts w:ascii="Times New Roman" w:hAnsi="Times New Roman"/>
          <w:sz w:val="24"/>
          <w:szCs w:val="24"/>
        </w:rPr>
        <w:t>ai</w:t>
      </w:r>
      <w:r w:rsidRPr="00453A06">
        <w:rPr>
          <w:rFonts w:ascii="Times New Roman" w:hAnsi="Times New Roman"/>
          <w:sz w:val="24"/>
          <w:szCs w:val="24"/>
        </w:rPr>
        <w:t xml:space="preserve"> teszik ki.</w:t>
      </w:r>
    </w:p>
    <w:p w:rsidR="00C017F0" w:rsidRDefault="00C017F0" w:rsidP="00C017F0">
      <w:pPr>
        <w:jc w:val="both"/>
        <w:rPr>
          <w:rFonts w:ascii="Times New Roman" w:hAnsi="Times New Roman"/>
          <w:sz w:val="24"/>
          <w:szCs w:val="24"/>
        </w:rPr>
      </w:pPr>
      <w:bookmarkStart w:id="9" w:name="_Hlk480804603"/>
      <w:r>
        <w:rPr>
          <w:rFonts w:ascii="Times New Roman" w:hAnsi="Times New Roman"/>
          <w:sz w:val="24"/>
          <w:szCs w:val="24"/>
        </w:rPr>
        <w:t>Murvás utak karbantartása: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/>
          <w:sz w:val="24"/>
          <w:szCs w:val="24"/>
        </w:rPr>
        <w:t xml:space="preserve"> 0</w:t>
      </w:r>
      <w:r w:rsidRPr="00453A06">
        <w:rPr>
          <w:rFonts w:ascii="Times New Roman" w:hAnsi="Times New Roman"/>
          <w:sz w:val="24"/>
          <w:szCs w:val="24"/>
        </w:rPr>
        <w:t>00 000 Ft</w:t>
      </w:r>
    </w:p>
    <w:p w:rsidR="00C017F0" w:rsidRDefault="00C017F0" w:rsidP="00C017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Aszfaltos utak karbantartása: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/>
          <w:sz w:val="24"/>
          <w:szCs w:val="24"/>
        </w:rPr>
        <w:t> 000 000 Ft</w:t>
      </w:r>
    </w:p>
    <w:p w:rsidR="00C017F0" w:rsidRDefault="00C017F0" w:rsidP="00C017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Várpalota</w:t>
      </w:r>
      <w:r w:rsidR="002A3114">
        <w:rPr>
          <w:rFonts w:ascii="Times New Roman" w:hAnsi="Times New Roman"/>
          <w:sz w:val="24"/>
          <w:szCs w:val="24"/>
        </w:rPr>
        <w:t xml:space="preserve"> 48-as u. árok és járda építés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3114">
        <w:rPr>
          <w:rFonts w:ascii="Times New Roman" w:hAnsi="Times New Roman"/>
          <w:sz w:val="24"/>
          <w:szCs w:val="24"/>
        </w:rPr>
        <w:tab/>
      </w:r>
      <w:proofErr w:type="gramStart"/>
      <w:r w:rsidR="002A311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3114"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="002A3114">
        <w:rPr>
          <w:rFonts w:ascii="Times New Roman" w:hAnsi="Times New Roman"/>
          <w:sz w:val="24"/>
          <w:szCs w:val="24"/>
        </w:rPr>
        <w:t>372</w:t>
      </w:r>
      <w:r>
        <w:rPr>
          <w:rFonts w:ascii="Times New Roman" w:hAnsi="Times New Roman"/>
          <w:sz w:val="24"/>
          <w:szCs w:val="24"/>
        </w:rPr>
        <w:t> 000 Ft</w:t>
      </w:r>
    </w:p>
    <w:p w:rsidR="002A3114" w:rsidRDefault="002A3114" w:rsidP="002A3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Gagarin u. folyóka készítés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369 000 Ft</w:t>
      </w:r>
    </w:p>
    <w:p w:rsidR="002A3114" w:rsidRDefault="002A3114" w:rsidP="002A3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Semmelweis u. 22-28. vízelvezetés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765 000 Ft</w:t>
      </w:r>
    </w:p>
    <w:p w:rsidR="002A3114" w:rsidRDefault="002A3114" w:rsidP="002A3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Ügyeleti rendelő kialakítása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2</w:t>
      </w:r>
      <w:proofErr w:type="gramEnd"/>
      <w:r>
        <w:rPr>
          <w:rFonts w:ascii="Times New Roman" w:hAnsi="Times New Roman"/>
          <w:sz w:val="24"/>
          <w:szCs w:val="24"/>
        </w:rPr>
        <w:t> 000 000 Ft</w:t>
      </w:r>
    </w:p>
    <w:p w:rsidR="002A3114" w:rsidRDefault="002A3114" w:rsidP="002A3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Várható járda építési munkák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12 300 000 Ft</w:t>
      </w:r>
    </w:p>
    <w:p w:rsidR="002A3114" w:rsidRDefault="002A3114" w:rsidP="002A3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Várható csapadékvíz elvezetési munkák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20 000 000 Ft</w:t>
      </w:r>
    </w:p>
    <w:p w:rsidR="00C017F0" w:rsidRPr="00651428" w:rsidRDefault="00C017F0" w:rsidP="00C017F0">
      <w:pPr>
        <w:jc w:val="both"/>
        <w:rPr>
          <w:rFonts w:ascii="Times New Roman" w:hAnsi="Times New Roman"/>
          <w:b/>
          <w:sz w:val="24"/>
          <w:szCs w:val="24"/>
        </w:rPr>
      </w:pPr>
      <w:r w:rsidRPr="00651428">
        <w:rPr>
          <w:rFonts w:ascii="Times New Roman" w:hAnsi="Times New Roman"/>
          <w:b/>
          <w:sz w:val="24"/>
          <w:szCs w:val="24"/>
        </w:rPr>
        <w:t>Összesen:</w:t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2A3114">
        <w:rPr>
          <w:rFonts w:ascii="Times New Roman" w:hAnsi="Times New Roman"/>
          <w:b/>
          <w:sz w:val="24"/>
          <w:szCs w:val="24"/>
        </w:rPr>
        <w:t>53</w:t>
      </w:r>
      <w:r w:rsidRPr="00651428">
        <w:rPr>
          <w:rFonts w:ascii="Times New Roman" w:hAnsi="Times New Roman"/>
          <w:b/>
          <w:sz w:val="24"/>
          <w:szCs w:val="24"/>
        </w:rPr>
        <w:t xml:space="preserve"> </w:t>
      </w:r>
      <w:r w:rsidR="002A3114">
        <w:rPr>
          <w:rFonts w:ascii="Times New Roman" w:hAnsi="Times New Roman"/>
          <w:b/>
          <w:sz w:val="24"/>
          <w:szCs w:val="24"/>
        </w:rPr>
        <w:t>806</w:t>
      </w:r>
      <w:r w:rsidRPr="00651428">
        <w:rPr>
          <w:rFonts w:ascii="Times New Roman" w:hAnsi="Times New Roman"/>
          <w:b/>
          <w:sz w:val="24"/>
          <w:szCs w:val="24"/>
        </w:rPr>
        <w:t> 000 Ft</w:t>
      </w:r>
      <w:bookmarkEnd w:id="9"/>
    </w:p>
    <w:p w:rsidR="007E414C" w:rsidRPr="00453A06" w:rsidRDefault="007E414C" w:rsidP="007E414C">
      <w:pPr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Bakonykarszt </w:t>
      </w:r>
      <w:proofErr w:type="spellStart"/>
      <w:r w:rsidRPr="00453A06">
        <w:rPr>
          <w:rFonts w:ascii="Times New Roman" w:hAnsi="Times New Roman"/>
          <w:sz w:val="24"/>
          <w:szCs w:val="24"/>
        </w:rPr>
        <w:t>ZRt</w:t>
      </w:r>
      <w:proofErr w:type="spellEnd"/>
      <w:r w:rsidRPr="00453A06">
        <w:rPr>
          <w:rFonts w:ascii="Times New Roman" w:hAnsi="Times New Roman"/>
          <w:sz w:val="24"/>
          <w:szCs w:val="24"/>
        </w:rPr>
        <w:t>. megállapodás alapján végzett munkák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2</w:t>
      </w:r>
      <w:proofErr w:type="gramEnd"/>
      <w:r w:rsidRPr="00453A06">
        <w:rPr>
          <w:rFonts w:ascii="Times New Roman" w:hAnsi="Times New Roman"/>
          <w:sz w:val="24"/>
          <w:szCs w:val="24"/>
        </w:rPr>
        <w:t> 000 000 Ft</w:t>
      </w:r>
    </w:p>
    <w:p w:rsidR="007E414C" w:rsidRPr="00453A06" w:rsidRDefault="007E414C" w:rsidP="007E414C">
      <w:pPr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Egyéb várható munkák</w:t>
      </w:r>
      <w:r w:rsidRPr="00453A06">
        <w:rPr>
          <w:rFonts w:ascii="Times New Roman" w:hAnsi="Times New Roman"/>
          <w:sz w:val="24"/>
          <w:szCs w:val="24"/>
        </w:rPr>
        <w:tab/>
      </w:r>
      <w:r w:rsidRPr="00453A06">
        <w:rPr>
          <w:rFonts w:ascii="Times New Roman" w:hAnsi="Times New Roman"/>
          <w:sz w:val="24"/>
          <w:szCs w:val="24"/>
        </w:rPr>
        <w:tab/>
      </w:r>
      <w:r w:rsidRPr="00453A06">
        <w:rPr>
          <w:rFonts w:ascii="Times New Roman" w:hAnsi="Times New Roman"/>
          <w:sz w:val="24"/>
          <w:szCs w:val="24"/>
        </w:rPr>
        <w:tab/>
      </w:r>
      <w:r w:rsidRPr="00453A06">
        <w:rPr>
          <w:rFonts w:ascii="Times New Roman" w:hAnsi="Times New Roman"/>
          <w:sz w:val="24"/>
          <w:szCs w:val="24"/>
        </w:rPr>
        <w:tab/>
      </w:r>
      <w:r w:rsidRPr="00453A06">
        <w:rPr>
          <w:rFonts w:ascii="Times New Roman" w:hAnsi="Times New Roman"/>
          <w:sz w:val="24"/>
          <w:szCs w:val="24"/>
        </w:rPr>
        <w:tab/>
      </w:r>
      <w:r w:rsidRPr="00453A06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453A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017F0">
        <w:rPr>
          <w:rFonts w:ascii="Times New Roman" w:hAnsi="Times New Roman"/>
          <w:sz w:val="24"/>
          <w:szCs w:val="24"/>
        </w:rPr>
        <w:t xml:space="preserve"> </w:t>
      </w:r>
      <w:r w:rsidR="002A3114">
        <w:rPr>
          <w:rFonts w:ascii="Times New Roman" w:hAnsi="Times New Roman"/>
          <w:sz w:val="24"/>
          <w:szCs w:val="24"/>
        </w:rPr>
        <w:t>4</w:t>
      </w:r>
      <w:proofErr w:type="gramEnd"/>
      <w:r w:rsidRPr="00453A06">
        <w:rPr>
          <w:rFonts w:ascii="Times New Roman" w:hAnsi="Times New Roman"/>
          <w:sz w:val="24"/>
          <w:szCs w:val="24"/>
        </w:rPr>
        <w:t> </w:t>
      </w:r>
      <w:r w:rsidR="002A3114">
        <w:rPr>
          <w:rFonts w:ascii="Times New Roman" w:hAnsi="Times New Roman"/>
          <w:sz w:val="24"/>
          <w:szCs w:val="24"/>
        </w:rPr>
        <w:t>5</w:t>
      </w:r>
      <w:r w:rsidRPr="00453A06">
        <w:rPr>
          <w:rFonts w:ascii="Times New Roman" w:hAnsi="Times New Roman"/>
          <w:sz w:val="24"/>
          <w:szCs w:val="24"/>
        </w:rPr>
        <w:t>00 000 Ft</w:t>
      </w:r>
    </w:p>
    <w:p w:rsidR="00C017F0" w:rsidRDefault="00C017F0" w:rsidP="00C017F0">
      <w:pPr>
        <w:rPr>
          <w:rFonts w:ascii="Times New Roman" w:hAnsi="Times New Roman"/>
          <w:b/>
          <w:sz w:val="24"/>
          <w:szCs w:val="24"/>
        </w:rPr>
      </w:pPr>
      <w:r w:rsidRPr="00651428">
        <w:rPr>
          <w:rFonts w:ascii="Times New Roman" w:hAnsi="Times New Roman"/>
          <w:b/>
          <w:sz w:val="24"/>
          <w:szCs w:val="24"/>
        </w:rPr>
        <w:t>Összesen:</w:t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 w:rsidRPr="0065142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gramStart"/>
      <w:r w:rsidR="002A3114">
        <w:rPr>
          <w:rFonts w:ascii="Times New Roman" w:hAnsi="Times New Roman"/>
          <w:b/>
          <w:sz w:val="24"/>
          <w:szCs w:val="24"/>
        </w:rPr>
        <w:tab/>
        <w:t xml:space="preserve">  6</w:t>
      </w:r>
      <w:proofErr w:type="gramEnd"/>
      <w:r w:rsidRPr="00651428">
        <w:rPr>
          <w:rFonts w:ascii="Times New Roman" w:hAnsi="Times New Roman"/>
          <w:b/>
          <w:sz w:val="24"/>
          <w:szCs w:val="24"/>
        </w:rPr>
        <w:t xml:space="preserve"> </w:t>
      </w:r>
      <w:r w:rsidR="002A3114">
        <w:rPr>
          <w:rFonts w:ascii="Times New Roman" w:hAnsi="Times New Roman"/>
          <w:b/>
          <w:sz w:val="24"/>
          <w:szCs w:val="24"/>
        </w:rPr>
        <w:t>5</w:t>
      </w:r>
      <w:r w:rsidRPr="00651428">
        <w:rPr>
          <w:rFonts w:ascii="Times New Roman" w:hAnsi="Times New Roman"/>
          <w:b/>
          <w:sz w:val="24"/>
          <w:szCs w:val="24"/>
        </w:rPr>
        <w:t>00 000 Ft</w:t>
      </w:r>
    </w:p>
    <w:p w:rsidR="007E414C" w:rsidRPr="00060D70" w:rsidRDefault="007E414C" w:rsidP="007E414C">
      <w:pPr>
        <w:rPr>
          <w:rFonts w:ascii="Times New Roman" w:hAnsi="Times New Roman"/>
          <w:sz w:val="24"/>
          <w:szCs w:val="24"/>
        </w:rPr>
      </w:pPr>
      <w:r w:rsidRPr="00FC6544">
        <w:rPr>
          <w:rFonts w:ascii="Times New Roman" w:hAnsi="Times New Roman"/>
          <w:sz w:val="24"/>
          <w:szCs w:val="24"/>
        </w:rPr>
        <w:t>Az építőipar tervezett összes árbevétele 201</w:t>
      </w:r>
      <w:r w:rsidR="002A3114">
        <w:rPr>
          <w:rFonts w:ascii="Times New Roman" w:hAnsi="Times New Roman"/>
          <w:sz w:val="24"/>
          <w:szCs w:val="24"/>
        </w:rPr>
        <w:t>9</w:t>
      </w:r>
      <w:r w:rsidRPr="00FC6544">
        <w:rPr>
          <w:rFonts w:ascii="Times New Roman" w:hAnsi="Times New Roman"/>
          <w:sz w:val="24"/>
          <w:szCs w:val="24"/>
        </w:rPr>
        <w:t xml:space="preserve">. évben </w:t>
      </w:r>
      <w:r w:rsidR="002A3114">
        <w:rPr>
          <w:rFonts w:ascii="Times New Roman" w:hAnsi="Times New Roman"/>
          <w:sz w:val="24"/>
          <w:szCs w:val="24"/>
        </w:rPr>
        <w:t>60 306</w:t>
      </w:r>
      <w:r w:rsidRPr="00FC6544">
        <w:rPr>
          <w:rFonts w:ascii="Times New Roman" w:hAnsi="Times New Roman"/>
          <w:sz w:val="24"/>
          <w:szCs w:val="24"/>
        </w:rPr>
        <w:t> 000 Ft.</w:t>
      </w:r>
    </w:p>
    <w:p w:rsidR="007E414C" w:rsidRPr="00453A06" w:rsidRDefault="007E414C" w:rsidP="007E414C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A belső munkák</w:t>
      </w:r>
      <w:r w:rsidR="00D133A9">
        <w:rPr>
          <w:rFonts w:ascii="Times New Roman" w:hAnsi="Times New Roman"/>
          <w:sz w:val="24"/>
          <w:szCs w:val="24"/>
        </w:rPr>
        <w:t>,</w:t>
      </w:r>
      <w:r w:rsidRPr="00453A06">
        <w:rPr>
          <w:rFonts w:ascii="Times New Roman" w:hAnsi="Times New Roman"/>
          <w:sz w:val="24"/>
          <w:szCs w:val="24"/>
        </w:rPr>
        <w:t xml:space="preserve"> illetve társüzemi feladatok között szerepelnek a szállítási üzem felé nyújtandó szolgáltatások, a távfűtés részére történő hibaelhárítással</w:t>
      </w:r>
      <w:r w:rsidR="00446BC8">
        <w:rPr>
          <w:rFonts w:ascii="Times New Roman" w:hAnsi="Times New Roman"/>
          <w:sz w:val="24"/>
          <w:szCs w:val="24"/>
        </w:rPr>
        <w:t>,</w:t>
      </w:r>
      <w:r w:rsidRPr="00453A06">
        <w:rPr>
          <w:rFonts w:ascii="Times New Roman" w:hAnsi="Times New Roman"/>
          <w:sz w:val="24"/>
          <w:szCs w:val="24"/>
        </w:rPr>
        <w:t xml:space="preserve"> illetve tervezett vezeték cserékkel kapcsolatos munkák,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A06">
        <w:rPr>
          <w:rFonts w:ascii="Times New Roman" w:hAnsi="Times New Roman"/>
          <w:sz w:val="24"/>
          <w:szCs w:val="24"/>
        </w:rPr>
        <w:t>a telephelyen végzendő felújítási munká</w:t>
      </w:r>
      <w:r w:rsidR="00C017F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:rsidR="00C017F0" w:rsidRDefault="00C97947" w:rsidP="00C017F0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 xml:space="preserve">Az Ingatlangazdálkodás részeként működő </w:t>
      </w:r>
      <w:r w:rsidRPr="00304D43">
        <w:rPr>
          <w:rFonts w:ascii="Times New Roman" w:hAnsi="Times New Roman"/>
          <w:b/>
          <w:sz w:val="24"/>
          <w:szCs w:val="24"/>
        </w:rPr>
        <w:t>Társasházi közös képviselet</w:t>
      </w:r>
      <w:r w:rsidRPr="00453A06">
        <w:rPr>
          <w:rFonts w:ascii="Times New Roman" w:hAnsi="Times New Roman"/>
          <w:sz w:val="24"/>
          <w:szCs w:val="24"/>
        </w:rPr>
        <w:t>i csoport a kezelt tá</w:t>
      </w:r>
      <w:r w:rsidR="003A60EF">
        <w:rPr>
          <w:rFonts w:ascii="Times New Roman" w:hAnsi="Times New Roman"/>
          <w:sz w:val="24"/>
          <w:szCs w:val="24"/>
        </w:rPr>
        <w:t xml:space="preserve">rsasházak állományának </w:t>
      </w:r>
      <w:r w:rsidR="00490ECC">
        <w:rPr>
          <w:rFonts w:ascii="Times New Roman" w:hAnsi="Times New Roman"/>
          <w:sz w:val="24"/>
          <w:szCs w:val="24"/>
        </w:rPr>
        <w:t xml:space="preserve">további </w:t>
      </w:r>
      <w:r w:rsidR="003A60EF">
        <w:rPr>
          <w:rFonts w:ascii="Times New Roman" w:hAnsi="Times New Roman"/>
          <w:sz w:val="24"/>
          <w:szCs w:val="24"/>
        </w:rPr>
        <w:t>növelésére</w:t>
      </w:r>
      <w:r w:rsidRPr="00453A06">
        <w:rPr>
          <w:rFonts w:ascii="Times New Roman" w:hAnsi="Times New Roman"/>
          <w:sz w:val="24"/>
          <w:szCs w:val="24"/>
        </w:rPr>
        <w:t xml:space="preserve"> </w:t>
      </w:r>
      <w:r w:rsidR="003A60EF">
        <w:rPr>
          <w:rFonts w:ascii="Times New Roman" w:hAnsi="Times New Roman"/>
          <w:sz w:val="24"/>
          <w:szCs w:val="24"/>
        </w:rPr>
        <w:t>törekszik</w:t>
      </w:r>
      <w:r w:rsidR="005277FD">
        <w:rPr>
          <w:rFonts w:ascii="Times New Roman" w:hAnsi="Times New Roman"/>
          <w:sz w:val="24"/>
          <w:szCs w:val="24"/>
        </w:rPr>
        <w:t>. 201</w:t>
      </w:r>
      <w:r w:rsidR="002A3114">
        <w:rPr>
          <w:rFonts w:ascii="Times New Roman" w:hAnsi="Times New Roman"/>
          <w:sz w:val="24"/>
          <w:szCs w:val="24"/>
        </w:rPr>
        <w:t>8</w:t>
      </w:r>
      <w:r w:rsidR="005277FD">
        <w:rPr>
          <w:rFonts w:ascii="Times New Roman" w:hAnsi="Times New Roman"/>
          <w:sz w:val="24"/>
          <w:szCs w:val="24"/>
        </w:rPr>
        <w:t xml:space="preserve">. évben </w:t>
      </w:r>
      <w:r w:rsidR="00446BC8">
        <w:rPr>
          <w:rFonts w:ascii="Times New Roman" w:hAnsi="Times New Roman"/>
          <w:sz w:val="24"/>
          <w:szCs w:val="24"/>
        </w:rPr>
        <w:t xml:space="preserve">további </w:t>
      </w:r>
      <w:r w:rsidR="005277FD" w:rsidRPr="005277FD">
        <w:rPr>
          <w:rFonts w:ascii="Times New Roman" w:hAnsi="Times New Roman"/>
          <w:sz w:val="24"/>
          <w:szCs w:val="24"/>
        </w:rPr>
        <w:t>ajánlato</w:t>
      </w:r>
      <w:r w:rsidR="005277FD">
        <w:rPr>
          <w:rFonts w:ascii="Times New Roman" w:hAnsi="Times New Roman"/>
          <w:sz w:val="24"/>
          <w:szCs w:val="24"/>
        </w:rPr>
        <w:t>ka</w:t>
      </w:r>
      <w:r w:rsidR="005277FD" w:rsidRPr="005277FD">
        <w:rPr>
          <w:rFonts w:ascii="Times New Roman" w:hAnsi="Times New Roman"/>
          <w:sz w:val="24"/>
          <w:szCs w:val="24"/>
        </w:rPr>
        <w:t>t adtunk</w:t>
      </w:r>
      <w:r w:rsidR="005277FD">
        <w:rPr>
          <w:rFonts w:ascii="Times New Roman" w:hAnsi="Times New Roman"/>
          <w:sz w:val="24"/>
          <w:szCs w:val="24"/>
        </w:rPr>
        <w:t xml:space="preserve"> ki</w:t>
      </w:r>
      <w:r w:rsidR="005277FD" w:rsidRPr="005277FD">
        <w:rPr>
          <w:rFonts w:ascii="Times New Roman" w:hAnsi="Times New Roman"/>
          <w:sz w:val="24"/>
          <w:szCs w:val="24"/>
        </w:rPr>
        <w:t xml:space="preserve"> és meghívás alapján részt vettünk közgyűlése</w:t>
      </w:r>
      <w:r w:rsidR="005277FD">
        <w:rPr>
          <w:rFonts w:ascii="Times New Roman" w:hAnsi="Times New Roman"/>
          <w:sz w:val="24"/>
          <w:szCs w:val="24"/>
        </w:rPr>
        <w:t>ke</w:t>
      </w:r>
      <w:r w:rsidR="005277FD" w:rsidRPr="005277FD">
        <w:rPr>
          <w:rFonts w:ascii="Times New Roman" w:hAnsi="Times New Roman"/>
          <w:sz w:val="24"/>
          <w:szCs w:val="24"/>
        </w:rPr>
        <w:t>n, hogy magunkat és tevékenységünket bemutassuk</w:t>
      </w:r>
      <w:r w:rsidR="005277FD">
        <w:rPr>
          <w:rFonts w:ascii="Times New Roman" w:hAnsi="Times New Roman"/>
          <w:sz w:val="24"/>
          <w:szCs w:val="24"/>
        </w:rPr>
        <w:t xml:space="preserve">. </w:t>
      </w:r>
    </w:p>
    <w:p w:rsidR="00490ECC" w:rsidRDefault="00490ECC" w:rsidP="00490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Összességében 201</w:t>
      </w:r>
      <w:r w:rsidR="002A31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december 31-én </w:t>
      </w:r>
      <w:r w:rsidR="005277FD">
        <w:rPr>
          <w:rFonts w:ascii="Times New Roman" w:hAnsi="Times New Roman"/>
          <w:sz w:val="24"/>
          <w:szCs w:val="24"/>
        </w:rPr>
        <w:t>6</w:t>
      </w:r>
      <w:r w:rsidR="002A31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társasháznál teljes körű képviseletet, </w:t>
      </w:r>
      <w:r w:rsidR="002A311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társasháznál csak könyvelési szolgáltatást </w:t>
      </w:r>
      <w:r w:rsidR="00C017F0">
        <w:rPr>
          <w:rFonts w:ascii="Times New Roman" w:hAnsi="Times New Roman"/>
          <w:sz w:val="24"/>
          <w:szCs w:val="24"/>
        </w:rPr>
        <w:t xml:space="preserve">nyújtunk, </w:t>
      </w:r>
      <w:r>
        <w:rPr>
          <w:rFonts w:ascii="Times New Roman" w:hAnsi="Times New Roman"/>
          <w:sz w:val="24"/>
          <w:szCs w:val="24"/>
        </w:rPr>
        <w:t>ami 1</w:t>
      </w:r>
      <w:r w:rsidR="002A3114">
        <w:rPr>
          <w:rFonts w:ascii="Times New Roman" w:hAnsi="Times New Roman"/>
          <w:sz w:val="24"/>
          <w:szCs w:val="24"/>
        </w:rPr>
        <w:t>538</w:t>
      </w:r>
      <w:r>
        <w:rPr>
          <w:rFonts w:ascii="Times New Roman" w:hAnsi="Times New Roman"/>
          <w:sz w:val="24"/>
          <w:szCs w:val="24"/>
        </w:rPr>
        <w:t xml:space="preserve"> lakást jelent szolgáltatási területünk</w:t>
      </w:r>
      <w:r w:rsidR="005277F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="005277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ECC" w:rsidRPr="00453A06" w:rsidRDefault="00FC63F1" w:rsidP="00490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Társaságunk </w:t>
      </w:r>
      <w:r w:rsidR="00490ECC" w:rsidRPr="00453A06">
        <w:rPr>
          <w:rFonts w:ascii="Times New Roman" w:hAnsi="Times New Roman"/>
          <w:sz w:val="24"/>
          <w:szCs w:val="24"/>
        </w:rPr>
        <w:t>201</w:t>
      </w:r>
      <w:r w:rsidR="002A3114">
        <w:rPr>
          <w:rFonts w:ascii="Times New Roman" w:hAnsi="Times New Roman"/>
          <w:sz w:val="24"/>
          <w:szCs w:val="24"/>
        </w:rPr>
        <w:t>9</w:t>
      </w:r>
      <w:r w:rsidR="00490ECC" w:rsidRPr="00453A06">
        <w:rPr>
          <w:rFonts w:ascii="Times New Roman" w:hAnsi="Times New Roman"/>
          <w:sz w:val="24"/>
          <w:szCs w:val="24"/>
        </w:rPr>
        <w:t xml:space="preserve">. évben a csoportban </w:t>
      </w:r>
      <w:r w:rsidR="00490ECC">
        <w:rPr>
          <w:rFonts w:ascii="Times New Roman" w:hAnsi="Times New Roman"/>
          <w:sz w:val="24"/>
          <w:szCs w:val="24"/>
        </w:rPr>
        <w:t xml:space="preserve">dolgozó 2 fő közös képviselő, </w:t>
      </w:r>
      <w:r w:rsidR="00490ECC" w:rsidRPr="00453A06">
        <w:rPr>
          <w:rFonts w:ascii="Times New Roman" w:hAnsi="Times New Roman"/>
          <w:sz w:val="24"/>
          <w:szCs w:val="24"/>
        </w:rPr>
        <w:t>2 fő könyvelő</w:t>
      </w:r>
      <w:r w:rsidR="00446BC8">
        <w:rPr>
          <w:rFonts w:ascii="Times New Roman" w:hAnsi="Times New Roman"/>
          <w:sz w:val="24"/>
          <w:szCs w:val="24"/>
        </w:rPr>
        <w:t>,</w:t>
      </w:r>
      <w:r w:rsidR="00490ECC">
        <w:rPr>
          <w:rFonts w:ascii="Times New Roman" w:hAnsi="Times New Roman"/>
          <w:sz w:val="24"/>
          <w:szCs w:val="24"/>
        </w:rPr>
        <w:t xml:space="preserve"> illetve 1 fő részmunkaidős adminisztratív</w:t>
      </w:r>
      <w:r w:rsidR="00490ECC" w:rsidRPr="00453A06">
        <w:rPr>
          <w:rFonts w:ascii="Times New Roman" w:hAnsi="Times New Roman"/>
          <w:sz w:val="24"/>
          <w:szCs w:val="24"/>
        </w:rPr>
        <w:t xml:space="preserve"> munkaerő</w:t>
      </w:r>
      <w:r w:rsidR="00490ECC">
        <w:rPr>
          <w:rFonts w:ascii="Times New Roman" w:hAnsi="Times New Roman"/>
          <w:sz w:val="24"/>
          <w:szCs w:val="24"/>
        </w:rPr>
        <w:t>vel</w:t>
      </w:r>
      <w:r w:rsidR="00490ECC" w:rsidRPr="00453A06">
        <w:rPr>
          <w:rFonts w:ascii="Times New Roman" w:hAnsi="Times New Roman"/>
          <w:sz w:val="24"/>
          <w:szCs w:val="24"/>
        </w:rPr>
        <w:t xml:space="preserve"> teljes körű képviseletét és könyvelését vállalja</w:t>
      </w:r>
      <w:r w:rsidR="00490ECC">
        <w:rPr>
          <w:rFonts w:ascii="Times New Roman" w:hAnsi="Times New Roman"/>
          <w:sz w:val="24"/>
          <w:szCs w:val="24"/>
        </w:rPr>
        <w:t xml:space="preserve"> Társasházaknál.</w:t>
      </w:r>
    </w:p>
    <w:p w:rsidR="00490ECC" w:rsidRDefault="00FC63F1" w:rsidP="00490ECC">
      <w:pPr>
        <w:jc w:val="both"/>
        <w:rPr>
          <w:rFonts w:ascii="Times New Roman" w:hAnsi="Times New Roman"/>
          <w:sz w:val="24"/>
          <w:szCs w:val="24"/>
        </w:rPr>
      </w:pPr>
      <w:bookmarkStart w:id="10" w:name="_Hlk480807744"/>
      <w:r w:rsidRPr="00453A06">
        <w:rPr>
          <w:rFonts w:ascii="Times New Roman" w:hAnsi="Times New Roman"/>
          <w:sz w:val="24"/>
          <w:szCs w:val="24"/>
        </w:rPr>
        <w:t>Vállalási díjunkat 201</w:t>
      </w:r>
      <w:r w:rsidR="002A3114">
        <w:rPr>
          <w:rFonts w:ascii="Times New Roman" w:hAnsi="Times New Roman"/>
          <w:sz w:val="24"/>
          <w:szCs w:val="24"/>
        </w:rPr>
        <w:t>9</w:t>
      </w:r>
      <w:r w:rsidRPr="00453A06">
        <w:rPr>
          <w:rFonts w:ascii="Times New Roman" w:hAnsi="Times New Roman"/>
          <w:sz w:val="24"/>
          <w:szCs w:val="24"/>
        </w:rPr>
        <w:t>. január 1-től a</w:t>
      </w:r>
      <w:r>
        <w:rPr>
          <w:rFonts w:ascii="Times New Roman" w:hAnsi="Times New Roman"/>
          <w:sz w:val="24"/>
          <w:szCs w:val="24"/>
        </w:rPr>
        <w:t xml:space="preserve"> megállapodásokban rögzített lehetőség biztosítottsága által változtatta meg Társaságunk</w:t>
      </w:r>
      <w:r w:rsidRPr="00453A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vállalási díjak megváltoztatásával </w:t>
      </w:r>
      <w:r w:rsidRPr="00453A06">
        <w:rPr>
          <w:rFonts w:ascii="Times New Roman" w:hAnsi="Times New Roman"/>
          <w:sz w:val="24"/>
          <w:szCs w:val="24"/>
        </w:rPr>
        <w:t>20</w:t>
      </w:r>
      <w:r w:rsidR="002A3114">
        <w:rPr>
          <w:rFonts w:ascii="Times New Roman" w:hAnsi="Times New Roman"/>
          <w:sz w:val="24"/>
          <w:szCs w:val="24"/>
        </w:rPr>
        <w:t>19</w:t>
      </w:r>
      <w:r w:rsidRPr="00453A06">
        <w:rPr>
          <w:rFonts w:ascii="Times New Roman" w:hAnsi="Times New Roman"/>
          <w:sz w:val="24"/>
          <w:szCs w:val="24"/>
        </w:rPr>
        <w:t>. évben</w:t>
      </w:r>
      <w:r>
        <w:rPr>
          <w:rFonts w:ascii="Times New Roman" w:hAnsi="Times New Roman"/>
          <w:sz w:val="24"/>
          <w:szCs w:val="24"/>
        </w:rPr>
        <w:t xml:space="preserve"> az éves tervezett árbevétel 2</w:t>
      </w:r>
      <w:r w:rsidR="002A31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A3114">
        <w:rPr>
          <w:rFonts w:ascii="Times New Roman" w:hAnsi="Times New Roman"/>
          <w:sz w:val="24"/>
          <w:szCs w:val="24"/>
        </w:rPr>
        <w:t>707</w:t>
      </w:r>
      <w:r>
        <w:rPr>
          <w:rFonts w:ascii="Times New Roman" w:hAnsi="Times New Roman"/>
          <w:sz w:val="24"/>
          <w:szCs w:val="24"/>
        </w:rPr>
        <w:t> 000 Ft.</w:t>
      </w:r>
      <w:bookmarkEnd w:id="10"/>
    </w:p>
    <w:p w:rsidR="00490ECC" w:rsidRPr="003A60EF" w:rsidRDefault="00490ECC" w:rsidP="00490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</w:t>
      </w:r>
      <w:r w:rsidRPr="003A60EF">
        <w:rPr>
          <w:rFonts w:ascii="Times New Roman" w:hAnsi="Times New Roman"/>
          <w:sz w:val="24"/>
          <w:szCs w:val="24"/>
        </w:rPr>
        <w:t xml:space="preserve"> évtől vállaljuk a tulajdonosok részére az internetes hozzáférést, mely jelentős többletmunkát jelent a könyvelésben, viszont új piacszerzési lehetőséget biztosíthat</w:t>
      </w:r>
      <w:r>
        <w:rPr>
          <w:rFonts w:ascii="Times New Roman" w:hAnsi="Times New Roman"/>
          <w:sz w:val="24"/>
          <w:szCs w:val="24"/>
        </w:rPr>
        <w:t xml:space="preserve"> plusz szolgáltatás nyújtásával.</w:t>
      </w:r>
    </w:p>
    <w:p w:rsidR="00490ECC" w:rsidRDefault="00490ECC" w:rsidP="00490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 képviselőink feladata </w:t>
      </w:r>
      <w:r w:rsidRPr="003A60EF">
        <w:rPr>
          <w:rFonts w:ascii="Times New Roman" w:hAnsi="Times New Roman"/>
          <w:sz w:val="24"/>
          <w:szCs w:val="24"/>
        </w:rPr>
        <w:t xml:space="preserve">tovább </w:t>
      </w:r>
      <w:r>
        <w:rPr>
          <w:rFonts w:ascii="Times New Roman" w:hAnsi="Times New Roman"/>
          <w:sz w:val="24"/>
          <w:szCs w:val="24"/>
        </w:rPr>
        <w:t xml:space="preserve">bővült és </w:t>
      </w:r>
      <w:r w:rsidRPr="003A60EF">
        <w:rPr>
          <w:rFonts w:ascii="Times New Roman" w:hAnsi="Times New Roman"/>
          <w:sz w:val="24"/>
          <w:szCs w:val="24"/>
        </w:rPr>
        <w:t>nehezed</w:t>
      </w:r>
      <w:r>
        <w:rPr>
          <w:rFonts w:ascii="Times New Roman" w:hAnsi="Times New Roman"/>
          <w:sz w:val="24"/>
          <w:szCs w:val="24"/>
        </w:rPr>
        <w:t>ett a</w:t>
      </w:r>
      <w:r w:rsidRPr="003A60EF">
        <w:rPr>
          <w:rFonts w:ascii="Times New Roman" w:hAnsi="Times New Roman"/>
          <w:sz w:val="24"/>
          <w:szCs w:val="24"/>
        </w:rPr>
        <w:t xml:space="preserve"> rezsicsökkentéssel kapcsolatos törvényi előírások </w:t>
      </w:r>
      <w:r>
        <w:rPr>
          <w:rFonts w:ascii="Times New Roman" w:hAnsi="Times New Roman"/>
          <w:sz w:val="24"/>
          <w:szCs w:val="24"/>
        </w:rPr>
        <w:t>teljesítési kötelezettségével.</w:t>
      </w:r>
    </w:p>
    <w:p w:rsidR="00490ECC" w:rsidRDefault="00490ECC" w:rsidP="00490ECC">
      <w:pPr>
        <w:jc w:val="both"/>
        <w:rPr>
          <w:rFonts w:ascii="Times New Roman" w:hAnsi="Times New Roman"/>
          <w:sz w:val="24"/>
          <w:szCs w:val="24"/>
        </w:rPr>
      </w:pPr>
      <w:r w:rsidRPr="00453A06">
        <w:rPr>
          <w:rFonts w:ascii="Times New Roman" w:hAnsi="Times New Roman"/>
          <w:sz w:val="24"/>
          <w:szCs w:val="24"/>
        </w:rPr>
        <w:t>Célunk, hogy a Társaság, tevékenységeinek és szakmai állományának bővülésével a társasházak szolgáltatások iránti igényeinek teljesítéséből nagyobb szerepet vállalhasson. Közös képviselőink igyekeznek, hogy a felmerülő karbantartási és hibaelhárítási munkáknál, lehetőségeik szerint, a T</w:t>
      </w:r>
      <w:r>
        <w:rPr>
          <w:rFonts w:ascii="Times New Roman" w:hAnsi="Times New Roman"/>
          <w:sz w:val="24"/>
          <w:szCs w:val="24"/>
        </w:rPr>
        <w:t>ársaság szakembereit vonják be.</w:t>
      </w:r>
    </w:p>
    <w:p w:rsidR="007B3D44" w:rsidRPr="00453A06" w:rsidRDefault="007B3D44" w:rsidP="00853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Társaságunk szem előtt tartja a </w:t>
      </w:r>
      <w:r w:rsidRPr="00304D43">
        <w:rPr>
          <w:rFonts w:ascii="Times New Roman" w:hAnsi="Times New Roman"/>
          <w:b/>
          <w:sz w:val="24"/>
          <w:szCs w:val="24"/>
        </w:rPr>
        <w:t>saját tulajdonú ingatlanok</w:t>
      </w:r>
      <w:r>
        <w:rPr>
          <w:rFonts w:ascii="Times New Roman" w:hAnsi="Times New Roman"/>
          <w:sz w:val="24"/>
          <w:szCs w:val="24"/>
        </w:rPr>
        <w:t xml:space="preserve">, tevékenysége során nem kihasznált épületeinek folyamatos hasznosítását, helyi vállalkozások részére történő bérbeadással. Törekvésünk a piaci bérleti díjak figyelembevételével a minél hosszabb idejű ingatlan bérbeadás elérése a fizetőképesség fenntartásával. </w:t>
      </w:r>
      <w:r w:rsidR="00FC63F1">
        <w:rPr>
          <w:rFonts w:ascii="Times New Roman" w:hAnsi="Times New Roman"/>
          <w:sz w:val="24"/>
          <w:szCs w:val="24"/>
        </w:rPr>
        <w:t>Társaságunk a megállapodásaiban rögzített módon 201</w:t>
      </w:r>
      <w:r w:rsidR="002A3114">
        <w:rPr>
          <w:rFonts w:ascii="Times New Roman" w:hAnsi="Times New Roman"/>
          <w:sz w:val="24"/>
          <w:szCs w:val="24"/>
        </w:rPr>
        <w:t>9</w:t>
      </w:r>
      <w:r w:rsidR="00FC63F1">
        <w:rPr>
          <w:rFonts w:ascii="Times New Roman" w:hAnsi="Times New Roman"/>
          <w:sz w:val="24"/>
          <w:szCs w:val="24"/>
        </w:rPr>
        <w:t>. január 1-től a 201</w:t>
      </w:r>
      <w:r w:rsidR="002A3114">
        <w:rPr>
          <w:rFonts w:ascii="Times New Roman" w:hAnsi="Times New Roman"/>
          <w:sz w:val="24"/>
          <w:szCs w:val="24"/>
        </w:rPr>
        <w:t>8</w:t>
      </w:r>
      <w:r w:rsidR="00FC63F1">
        <w:rPr>
          <w:rFonts w:ascii="Times New Roman" w:hAnsi="Times New Roman"/>
          <w:sz w:val="24"/>
          <w:szCs w:val="24"/>
        </w:rPr>
        <w:t>. évi KSH által közzétett átlagos 2,</w:t>
      </w:r>
      <w:r w:rsidR="002A3114">
        <w:rPr>
          <w:rFonts w:ascii="Times New Roman" w:hAnsi="Times New Roman"/>
          <w:sz w:val="24"/>
          <w:szCs w:val="24"/>
        </w:rPr>
        <w:t>8</w:t>
      </w:r>
      <w:r w:rsidR="00FC63F1">
        <w:rPr>
          <w:rFonts w:ascii="Times New Roman" w:hAnsi="Times New Roman"/>
          <w:sz w:val="24"/>
          <w:szCs w:val="24"/>
        </w:rPr>
        <w:t xml:space="preserve">%-os fogyasztói </w:t>
      </w:r>
      <w:r w:rsidR="00FC63F1">
        <w:rPr>
          <w:rFonts w:ascii="Times New Roman" w:hAnsi="Times New Roman"/>
          <w:sz w:val="24"/>
          <w:szCs w:val="24"/>
        </w:rPr>
        <w:lastRenderedPageBreak/>
        <w:t xml:space="preserve">áremelkedés figyelembevételével emelte meg bérleti díjait. </w:t>
      </w:r>
      <w:r>
        <w:rPr>
          <w:rFonts w:ascii="Times New Roman" w:hAnsi="Times New Roman"/>
          <w:sz w:val="24"/>
          <w:szCs w:val="24"/>
        </w:rPr>
        <w:t xml:space="preserve">Ingatlanjaink </w:t>
      </w:r>
      <w:r w:rsidR="00FC63F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érbeadásából tervezett árbevétel 201</w:t>
      </w:r>
      <w:r w:rsidR="002A31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évben </w:t>
      </w:r>
      <w:r w:rsidR="002A311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 </w:t>
      </w:r>
      <w:r w:rsidR="002A3114">
        <w:rPr>
          <w:rFonts w:ascii="Times New Roman" w:hAnsi="Times New Roman"/>
          <w:sz w:val="24"/>
          <w:szCs w:val="24"/>
        </w:rPr>
        <w:t>375</w:t>
      </w:r>
      <w:r>
        <w:rPr>
          <w:rFonts w:ascii="Times New Roman" w:hAnsi="Times New Roman"/>
          <w:sz w:val="24"/>
          <w:szCs w:val="24"/>
        </w:rPr>
        <w:t> </w:t>
      </w:r>
      <w:r w:rsidR="005277F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Ft.</w:t>
      </w:r>
    </w:p>
    <w:p w:rsidR="004D054C" w:rsidRPr="00E5568A" w:rsidRDefault="00E5568A" w:rsidP="00051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Társaság gazdálkodására vonatkozóan megállapítható, hogy tevékenységei közé tartozó szolgáltatások végzése folyamatosan zavartalanul teljesíthető, gazdálkodása tervezhető. </w:t>
      </w:r>
    </w:p>
    <w:p w:rsidR="008776D4" w:rsidRDefault="008776D4" w:rsidP="004D054C">
      <w:pPr>
        <w:tabs>
          <w:tab w:val="left" w:pos="35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Várpalota, 201</w:t>
      </w:r>
      <w:r w:rsidR="00460C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C21919">
        <w:rPr>
          <w:rFonts w:ascii="Times New Roman" w:hAnsi="Times New Roman"/>
          <w:sz w:val="24"/>
          <w:szCs w:val="24"/>
        </w:rPr>
        <w:t>április</w:t>
      </w:r>
      <w:r>
        <w:rPr>
          <w:rFonts w:ascii="Times New Roman" w:hAnsi="Times New Roman"/>
          <w:sz w:val="24"/>
          <w:szCs w:val="24"/>
        </w:rPr>
        <w:t xml:space="preserve"> </w:t>
      </w:r>
      <w:r w:rsidR="00C21919">
        <w:rPr>
          <w:rFonts w:ascii="Times New Roman" w:hAnsi="Times New Roman"/>
          <w:sz w:val="24"/>
          <w:szCs w:val="24"/>
        </w:rPr>
        <w:t>16</w:t>
      </w:r>
      <w:bookmarkStart w:id="11" w:name="_GoBack"/>
      <w:bookmarkEnd w:id="11"/>
      <w:r>
        <w:rPr>
          <w:rFonts w:ascii="Times New Roman" w:hAnsi="Times New Roman"/>
          <w:sz w:val="24"/>
          <w:szCs w:val="24"/>
        </w:rPr>
        <w:t>.</w:t>
      </w:r>
    </w:p>
    <w:p w:rsidR="008776D4" w:rsidRDefault="008776D4" w:rsidP="004D054C">
      <w:pPr>
        <w:tabs>
          <w:tab w:val="left" w:pos="35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Horváth Tamás József</w:t>
      </w:r>
    </w:p>
    <w:p w:rsidR="008776D4" w:rsidRPr="007727FF" w:rsidRDefault="008776D4" w:rsidP="004D054C">
      <w:pPr>
        <w:tabs>
          <w:tab w:val="left" w:pos="35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ügyvez</w:t>
      </w:r>
      <w:r w:rsidR="00DE2FF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tő igazgató</w:t>
      </w:r>
    </w:p>
    <w:sectPr w:rsidR="008776D4" w:rsidRPr="007727FF" w:rsidSect="00106AC1">
      <w:headerReference w:type="default" r:id="rId11"/>
      <w:footerReference w:type="default" r:id="rId12"/>
      <w:pgSz w:w="11906" w:h="16838"/>
      <w:pgMar w:top="1417" w:right="1417" w:bottom="1417" w:left="1417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10" w:rsidRDefault="00CD5010" w:rsidP="00B4726B">
      <w:pPr>
        <w:spacing w:after="0" w:line="240" w:lineRule="auto"/>
      </w:pPr>
      <w:r>
        <w:separator/>
      </w:r>
    </w:p>
  </w:endnote>
  <w:endnote w:type="continuationSeparator" w:id="0">
    <w:p w:rsidR="00CD5010" w:rsidRDefault="00CD5010" w:rsidP="00B4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010" w:rsidRDefault="00CD5010" w:rsidP="00C2133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-1148715</wp:posOffset>
          </wp:positionV>
          <wp:extent cx="7505700" cy="1304925"/>
          <wp:effectExtent l="19050" t="0" r="0" b="0"/>
          <wp:wrapNone/>
          <wp:docPr id="2" name="Kép 4" descr="graf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grafi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10020935</wp:posOffset>
              </wp:positionV>
              <wp:extent cx="512445" cy="441325"/>
              <wp:effectExtent l="0" t="635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10" w:rsidRPr="00C21331" w:rsidRDefault="00CD5010" w:rsidP="00C2133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5pt;margin-top:789.0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" filled="f" fillcolor="#4f81bd" stroked="f" strokecolor="#737373">
              <v:textbox>
                <w:txbxContent>
                  <w:p w:rsidR="00CD5010" w:rsidRPr="00C21331" w:rsidRDefault="00CD5010" w:rsidP="00C21331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10" w:rsidRDefault="00CD5010" w:rsidP="00B4726B">
      <w:pPr>
        <w:spacing w:after="0" w:line="240" w:lineRule="auto"/>
      </w:pPr>
      <w:r>
        <w:separator/>
      </w:r>
    </w:p>
  </w:footnote>
  <w:footnote w:type="continuationSeparator" w:id="0">
    <w:p w:rsidR="00CD5010" w:rsidRDefault="00CD5010" w:rsidP="00B4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010" w:rsidRDefault="00CD5010">
    <w:pPr>
      <w:pStyle w:val="lfej"/>
      <w:rPr>
        <w:rFonts w:ascii="Arial" w:hAnsi="Arial" w:cs="Arial"/>
        <w:b/>
        <w:i/>
        <w:color w:val="92D050"/>
        <w:sz w:val="16"/>
        <w:szCs w:val="16"/>
        <w:u w:val="single"/>
      </w:rPr>
    </w:pPr>
  </w:p>
  <w:p w:rsidR="00CD5010" w:rsidRDefault="00CD5010">
    <w:pPr>
      <w:pStyle w:val="lfej"/>
      <w:rPr>
        <w:rFonts w:ascii="Arial" w:hAnsi="Arial" w:cs="Arial"/>
        <w:b/>
        <w:i/>
        <w:color w:val="92D050"/>
        <w:sz w:val="16"/>
        <w:szCs w:val="16"/>
        <w:u w:val="single"/>
      </w:rPr>
    </w:pPr>
  </w:p>
  <w:p w:rsidR="00CD5010" w:rsidRPr="00C21331" w:rsidRDefault="00CD5010">
    <w:pPr>
      <w:pStyle w:val="lfej"/>
      <w:rPr>
        <w:rFonts w:ascii="Arial" w:hAnsi="Arial" w:cs="Arial"/>
        <w:b/>
        <w:i/>
        <w:color w:val="92D050"/>
        <w:sz w:val="16"/>
        <w:szCs w:val="16"/>
        <w:u w:val="single"/>
      </w:rPr>
    </w:pPr>
    <w:r>
      <w:rPr>
        <w:rFonts w:ascii="Arial" w:hAnsi="Arial" w:cs="Arial"/>
        <w:b/>
        <w:i/>
        <w:color w:val="92D050"/>
        <w:sz w:val="16"/>
        <w:szCs w:val="16"/>
        <w:u w:val="single"/>
      </w:rPr>
      <w:t>VÁRPALOTAI KÖZSZOLGÁLTATÓ</w:t>
    </w:r>
    <w:r w:rsidRPr="00C21331">
      <w:rPr>
        <w:rFonts w:ascii="Arial" w:hAnsi="Arial" w:cs="Arial"/>
        <w:b/>
        <w:i/>
        <w:color w:val="92D050"/>
        <w:sz w:val="16"/>
        <w:szCs w:val="16"/>
        <w:u w:val="single"/>
      </w:rPr>
      <w:t xml:space="preserve"> </w:t>
    </w:r>
    <w:r>
      <w:rPr>
        <w:rFonts w:ascii="Arial" w:hAnsi="Arial" w:cs="Arial"/>
        <w:b/>
        <w:i/>
        <w:color w:val="92D050"/>
        <w:sz w:val="16"/>
        <w:szCs w:val="16"/>
        <w:u w:val="single"/>
      </w:rPr>
      <w:t xml:space="preserve">NONPROFIT </w:t>
    </w:r>
    <w:r w:rsidRPr="00C21331">
      <w:rPr>
        <w:rFonts w:ascii="Arial" w:hAnsi="Arial" w:cs="Arial"/>
        <w:b/>
        <w:i/>
        <w:color w:val="92D050"/>
        <w:sz w:val="16"/>
        <w:szCs w:val="16"/>
        <w:u w:val="single"/>
      </w:rPr>
      <w:t xml:space="preserve">KFT. ÜZLETI </w:t>
    </w:r>
    <w:r>
      <w:rPr>
        <w:rFonts w:ascii="Arial" w:hAnsi="Arial" w:cs="Arial"/>
        <w:b/>
        <w:i/>
        <w:color w:val="92D050"/>
        <w:sz w:val="16"/>
        <w:szCs w:val="16"/>
        <w:u w:val="single"/>
      </w:rPr>
      <w:t xml:space="preserve">JELENTÉS </w:t>
    </w:r>
    <w:r w:rsidRPr="00C21331">
      <w:rPr>
        <w:rFonts w:ascii="Arial" w:hAnsi="Arial" w:cs="Arial"/>
        <w:b/>
        <w:i/>
        <w:color w:val="92D050"/>
        <w:sz w:val="16"/>
        <w:szCs w:val="16"/>
        <w:u w:val="single"/>
      </w:rPr>
      <w:t>201</w:t>
    </w:r>
    <w:r>
      <w:rPr>
        <w:rFonts w:ascii="Arial" w:hAnsi="Arial" w:cs="Arial"/>
        <w:b/>
        <w:i/>
        <w:color w:val="92D050"/>
        <w:sz w:val="16"/>
        <w:szCs w:val="16"/>
        <w:u w:val="single"/>
      </w:rPr>
      <w:t>8</w:t>
    </w:r>
    <w:r>
      <w:rPr>
        <w:rFonts w:ascii="Arial" w:hAnsi="Arial" w:cs="Arial"/>
        <w:b/>
        <w:i/>
        <w:color w:val="92D050"/>
        <w:sz w:val="16"/>
        <w:szCs w:val="16"/>
        <w:u w:val="single"/>
      </w:rPr>
      <w:tab/>
    </w:r>
    <w:r>
      <w:rPr>
        <w:rFonts w:ascii="Arial" w:hAnsi="Arial" w:cs="Arial"/>
        <w:b/>
        <w:i/>
        <w:color w:val="92D050"/>
        <w:sz w:val="16"/>
        <w:szCs w:val="16"/>
        <w:u w:val="single"/>
      </w:rPr>
      <w:tab/>
    </w:r>
  </w:p>
  <w:p w:rsidR="00CD5010" w:rsidRDefault="00CD5010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41"/>
    <w:multiLevelType w:val="multilevel"/>
    <w:tmpl w:val="CE4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1AEF"/>
    <w:multiLevelType w:val="multilevel"/>
    <w:tmpl w:val="EC424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C2D4C5C"/>
    <w:multiLevelType w:val="hybridMultilevel"/>
    <w:tmpl w:val="D0F8341A"/>
    <w:lvl w:ilvl="0" w:tplc="CD8627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481"/>
    <w:multiLevelType w:val="hybridMultilevel"/>
    <w:tmpl w:val="26B8D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6204"/>
    <w:multiLevelType w:val="multilevel"/>
    <w:tmpl w:val="EF1ED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7653035"/>
    <w:multiLevelType w:val="multilevel"/>
    <w:tmpl w:val="34368C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8DD0BD6"/>
    <w:multiLevelType w:val="multilevel"/>
    <w:tmpl w:val="8D325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A847191"/>
    <w:multiLevelType w:val="hybridMultilevel"/>
    <w:tmpl w:val="5BDEEE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24653"/>
    <w:multiLevelType w:val="hybridMultilevel"/>
    <w:tmpl w:val="EC16961A"/>
    <w:lvl w:ilvl="0" w:tplc="B4EA16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23D6"/>
    <w:multiLevelType w:val="hybridMultilevel"/>
    <w:tmpl w:val="63F407C6"/>
    <w:lvl w:ilvl="0" w:tplc="3EB4E1DC">
      <w:start w:val="2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22B"/>
    <w:multiLevelType w:val="hybridMultilevel"/>
    <w:tmpl w:val="640CBE98"/>
    <w:lvl w:ilvl="0" w:tplc="AC1647DE">
      <w:start w:val="38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D17130B"/>
    <w:multiLevelType w:val="hybridMultilevel"/>
    <w:tmpl w:val="5B30B2BA"/>
    <w:lvl w:ilvl="0" w:tplc="90E2A26A">
      <w:start w:val="2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349F"/>
    <w:multiLevelType w:val="hybridMultilevel"/>
    <w:tmpl w:val="9542A3CA"/>
    <w:lvl w:ilvl="0" w:tplc="59C08DF6">
      <w:start w:val="38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055190"/>
    <w:multiLevelType w:val="hybridMultilevel"/>
    <w:tmpl w:val="299A3C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40EC"/>
    <w:multiLevelType w:val="hybridMultilevel"/>
    <w:tmpl w:val="DC94D62E"/>
    <w:lvl w:ilvl="0" w:tplc="F6164FA4">
      <w:start w:val="3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329"/>
    <w:multiLevelType w:val="hybridMultilevel"/>
    <w:tmpl w:val="2BF269F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7B0E"/>
    <w:multiLevelType w:val="hybridMultilevel"/>
    <w:tmpl w:val="B70E16AC"/>
    <w:lvl w:ilvl="0" w:tplc="CEE0F9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951A3"/>
    <w:multiLevelType w:val="hybridMultilevel"/>
    <w:tmpl w:val="AE8CC228"/>
    <w:lvl w:ilvl="0" w:tplc="FB3A7D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B3710"/>
    <w:multiLevelType w:val="hybridMultilevel"/>
    <w:tmpl w:val="14021446"/>
    <w:lvl w:ilvl="0" w:tplc="1CCC13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08C7"/>
    <w:multiLevelType w:val="hybridMultilevel"/>
    <w:tmpl w:val="96AA9400"/>
    <w:lvl w:ilvl="0" w:tplc="80388B82">
      <w:start w:val="29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90474D"/>
    <w:multiLevelType w:val="multilevel"/>
    <w:tmpl w:val="249A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19582C"/>
    <w:multiLevelType w:val="hybridMultilevel"/>
    <w:tmpl w:val="F91E92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522C9"/>
    <w:multiLevelType w:val="hybridMultilevel"/>
    <w:tmpl w:val="5BDEEE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781274"/>
    <w:multiLevelType w:val="multilevel"/>
    <w:tmpl w:val="8D325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C5F59FC"/>
    <w:multiLevelType w:val="hybridMultilevel"/>
    <w:tmpl w:val="D518AA1A"/>
    <w:lvl w:ilvl="0" w:tplc="BD2A92B6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17C57"/>
    <w:multiLevelType w:val="hybridMultilevel"/>
    <w:tmpl w:val="23EC7F26"/>
    <w:lvl w:ilvl="0" w:tplc="45A654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591C79"/>
    <w:multiLevelType w:val="hybridMultilevel"/>
    <w:tmpl w:val="4A8C63F4"/>
    <w:lvl w:ilvl="0" w:tplc="42E845E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D87A8A"/>
    <w:multiLevelType w:val="hybridMultilevel"/>
    <w:tmpl w:val="2654D160"/>
    <w:lvl w:ilvl="0" w:tplc="1A8488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F7330"/>
    <w:multiLevelType w:val="hybridMultilevel"/>
    <w:tmpl w:val="99643B18"/>
    <w:lvl w:ilvl="0" w:tplc="25080B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9AC08D4"/>
    <w:multiLevelType w:val="hybridMultilevel"/>
    <w:tmpl w:val="E1DE9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4598"/>
    <w:multiLevelType w:val="hybridMultilevel"/>
    <w:tmpl w:val="9BDE09D6"/>
    <w:lvl w:ilvl="0" w:tplc="E7762F78">
      <w:start w:val="8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254D8"/>
    <w:multiLevelType w:val="hybridMultilevel"/>
    <w:tmpl w:val="82347452"/>
    <w:lvl w:ilvl="0" w:tplc="376CB738">
      <w:start w:val="292"/>
      <w:numFmt w:val="bullet"/>
      <w:lvlText w:val="-"/>
      <w:lvlJc w:val="left"/>
      <w:pPr>
        <w:ind w:left="4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1"/>
  </w:num>
  <w:num w:numId="8">
    <w:abstractNumId w:val="15"/>
  </w:num>
  <w:num w:numId="9">
    <w:abstractNumId w:val="13"/>
  </w:num>
  <w:num w:numId="10">
    <w:abstractNumId w:val="3"/>
  </w:num>
  <w:num w:numId="11">
    <w:abstractNumId w:val="29"/>
  </w:num>
  <w:num w:numId="12">
    <w:abstractNumId w:val="30"/>
  </w:num>
  <w:num w:numId="13">
    <w:abstractNumId w:val="24"/>
  </w:num>
  <w:num w:numId="14">
    <w:abstractNumId w:val="22"/>
  </w:num>
  <w:num w:numId="15">
    <w:abstractNumId w:val="25"/>
  </w:num>
  <w:num w:numId="16">
    <w:abstractNumId w:val="17"/>
  </w:num>
  <w:num w:numId="17">
    <w:abstractNumId w:val="28"/>
  </w:num>
  <w:num w:numId="18">
    <w:abstractNumId w:val="16"/>
  </w:num>
  <w:num w:numId="19">
    <w:abstractNumId w:val="8"/>
  </w:num>
  <w:num w:numId="20">
    <w:abstractNumId w:val="12"/>
  </w:num>
  <w:num w:numId="21">
    <w:abstractNumId w:val="10"/>
  </w:num>
  <w:num w:numId="22">
    <w:abstractNumId w:val="14"/>
  </w:num>
  <w:num w:numId="23">
    <w:abstractNumId w:val="9"/>
  </w:num>
  <w:num w:numId="24">
    <w:abstractNumId w:val="19"/>
  </w:num>
  <w:num w:numId="25">
    <w:abstractNumId w:val="11"/>
  </w:num>
  <w:num w:numId="26">
    <w:abstractNumId w:val="31"/>
  </w:num>
  <w:num w:numId="27">
    <w:abstractNumId w:val="23"/>
  </w:num>
  <w:num w:numId="28">
    <w:abstractNumId w:val="26"/>
  </w:num>
  <w:num w:numId="29">
    <w:abstractNumId w:val="27"/>
  </w:num>
  <w:num w:numId="30">
    <w:abstractNumId w:val="1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6B"/>
    <w:rsid w:val="00001A3F"/>
    <w:rsid w:val="000028E8"/>
    <w:rsid w:val="00002DCF"/>
    <w:rsid w:val="00007CC9"/>
    <w:rsid w:val="00010E7D"/>
    <w:rsid w:val="000133A9"/>
    <w:rsid w:val="000134CF"/>
    <w:rsid w:val="00015E52"/>
    <w:rsid w:val="00020F6C"/>
    <w:rsid w:val="000219AE"/>
    <w:rsid w:val="00022773"/>
    <w:rsid w:val="00037276"/>
    <w:rsid w:val="0004302C"/>
    <w:rsid w:val="000459B1"/>
    <w:rsid w:val="0005052D"/>
    <w:rsid w:val="000508B7"/>
    <w:rsid w:val="00051006"/>
    <w:rsid w:val="000515F8"/>
    <w:rsid w:val="00052017"/>
    <w:rsid w:val="0005399C"/>
    <w:rsid w:val="00053DA7"/>
    <w:rsid w:val="00054809"/>
    <w:rsid w:val="00056792"/>
    <w:rsid w:val="0005778E"/>
    <w:rsid w:val="000614FB"/>
    <w:rsid w:val="00062911"/>
    <w:rsid w:val="00066C1A"/>
    <w:rsid w:val="000810AA"/>
    <w:rsid w:val="000823C6"/>
    <w:rsid w:val="00091191"/>
    <w:rsid w:val="00091754"/>
    <w:rsid w:val="000932A3"/>
    <w:rsid w:val="000945B6"/>
    <w:rsid w:val="000948CA"/>
    <w:rsid w:val="000A27DF"/>
    <w:rsid w:val="000A6807"/>
    <w:rsid w:val="000A6997"/>
    <w:rsid w:val="000A77CF"/>
    <w:rsid w:val="000A7C6B"/>
    <w:rsid w:val="000B2AA8"/>
    <w:rsid w:val="000B3D78"/>
    <w:rsid w:val="000B73B0"/>
    <w:rsid w:val="000B7B4F"/>
    <w:rsid w:val="000C15D2"/>
    <w:rsid w:val="000C1750"/>
    <w:rsid w:val="000C5666"/>
    <w:rsid w:val="000C6F7D"/>
    <w:rsid w:val="000D4C97"/>
    <w:rsid w:val="000D7EA4"/>
    <w:rsid w:val="000E45FD"/>
    <w:rsid w:val="000F3865"/>
    <w:rsid w:val="000F3FDC"/>
    <w:rsid w:val="000F506E"/>
    <w:rsid w:val="000F79D3"/>
    <w:rsid w:val="00100528"/>
    <w:rsid w:val="00104FE2"/>
    <w:rsid w:val="00105935"/>
    <w:rsid w:val="00106AC1"/>
    <w:rsid w:val="0011012D"/>
    <w:rsid w:val="001120DC"/>
    <w:rsid w:val="001170DD"/>
    <w:rsid w:val="00117DA5"/>
    <w:rsid w:val="00121702"/>
    <w:rsid w:val="0012650E"/>
    <w:rsid w:val="0013134E"/>
    <w:rsid w:val="00131AFD"/>
    <w:rsid w:val="001360EA"/>
    <w:rsid w:val="00136112"/>
    <w:rsid w:val="00145AE9"/>
    <w:rsid w:val="00146950"/>
    <w:rsid w:val="00146A3C"/>
    <w:rsid w:val="00146D44"/>
    <w:rsid w:val="001516DB"/>
    <w:rsid w:val="0015343D"/>
    <w:rsid w:val="001539E9"/>
    <w:rsid w:val="001551A4"/>
    <w:rsid w:val="001601A1"/>
    <w:rsid w:val="00163435"/>
    <w:rsid w:val="001744F6"/>
    <w:rsid w:val="00174C32"/>
    <w:rsid w:val="00180C75"/>
    <w:rsid w:val="00180E20"/>
    <w:rsid w:val="00181A3F"/>
    <w:rsid w:val="001830B3"/>
    <w:rsid w:val="00184482"/>
    <w:rsid w:val="0018600C"/>
    <w:rsid w:val="0018778B"/>
    <w:rsid w:val="001879C6"/>
    <w:rsid w:val="00192DCC"/>
    <w:rsid w:val="00195A24"/>
    <w:rsid w:val="001A25F8"/>
    <w:rsid w:val="001A3189"/>
    <w:rsid w:val="001A37CB"/>
    <w:rsid w:val="001B1900"/>
    <w:rsid w:val="001B28FC"/>
    <w:rsid w:val="001B444D"/>
    <w:rsid w:val="001B69C0"/>
    <w:rsid w:val="001B76BE"/>
    <w:rsid w:val="001B7D05"/>
    <w:rsid w:val="001B7E5B"/>
    <w:rsid w:val="001C1275"/>
    <w:rsid w:val="001C1DC4"/>
    <w:rsid w:val="001C2585"/>
    <w:rsid w:val="001C25EB"/>
    <w:rsid w:val="001C38B2"/>
    <w:rsid w:val="001D0B47"/>
    <w:rsid w:val="001D36C8"/>
    <w:rsid w:val="001D38C6"/>
    <w:rsid w:val="001D4128"/>
    <w:rsid w:val="001D5736"/>
    <w:rsid w:val="001E185B"/>
    <w:rsid w:val="001E45C4"/>
    <w:rsid w:val="001E691D"/>
    <w:rsid w:val="001E694B"/>
    <w:rsid w:val="00201114"/>
    <w:rsid w:val="00203C14"/>
    <w:rsid w:val="00204594"/>
    <w:rsid w:val="00205F60"/>
    <w:rsid w:val="00206C33"/>
    <w:rsid w:val="002159A6"/>
    <w:rsid w:val="00215F4F"/>
    <w:rsid w:val="0022458B"/>
    <w:rsid w:val="00224A01"/>
    <w:rsid w:val="00225ABA"/>
    <w:rsid w:val="00231790"/>
    <w:rsid w:val="0023550F"/>
    <w:rsid w:val="0024775F"/>
    <w:rsid w:val="00252B0D"/>
    <w:rsid w:val="00256C26"/>
    <w:rsid w:val="00256DA2"/>
    <w:rsid w:val="00257902"/>
    <w:rsid w:val="00257B2A"/>
    <w:rsid w:val="002617B4"/>
    <w:rsid w:val="00261898"/>
    <w:rsid w:val="00262B9C"/>
    <w:rsid w:val="00263684"/>
    <w:rsid w:val="00264A70"/>
    <w:rsid w:val="002710FB"/>
    <w:rsid w:val="00274D3E"/>
    <w:rsid w:val="00276940"/>
    <w:rsid w:val="00283720"/>
    <w:rsid w:val="00286510"/>
    <w:rsid w:val="00286F4B"/>
    <w:rsid w:val="002951F7"/>
    <w:rsid w:val="0029605D"/>
    <w:rsid w:val="0029660C"/>
    <w:rsid w:val="00297961"/>
    <w:rsid w:val="002A2CA1"/>
    <w:rsid w:val="002A3114"/>
    <w:rsid w:val="002A3AAA"/>
    <w:rsid w:val="002B0C54"/>
    <w:rsid w:val="002B16D1"/>
    <w:rsid w:val="002B2A06"/>
    <w:rsid w:val="002B51DB"/>
    <w:rsid w:val="002B7762"/>
    <w:rsid w:val="002C024C"/>
    <w:rsid w:val="002D656B"/>
    <w:rsid w:val="002E111A"/>
    <w:rsid w:val="002E453B"/>
    <w:rsid w:val="002E49FD"/>
    <w:rsid w:val="002E5060"/>
    <w:rsid w:val="002E7448"/>
    <w:rsid w:val="002F21E1"/>
    <w:rsid w:val="002F31F1"/>
    <w:rsid w:val="00300EBF"/>
    <w:rsid w:val="00303047"/>
    <w:rsid w:val="00304D43"/>
    <w:rsid w:val="00311AA3"/>
    <w:rsid w:val="00312732"/>
    <w:rsid w:val="00317253"/>
    <w:rsid w:val="0032205F"/>
    <w:rsid w:val="003228A0"/>
    <w:rsid w:val="00333D54"/>
    <w:rsid w:val="003373A7"/>
    <w:rsid w:val="003445A2"/>
    <w:rsid w:val="0034786F"/>
    <w:rsid w:val="00347958"/>
    <w:rsid w:val="003479A4"/>
    <w:rsid w:val="00351E91"/>
    <w:rsid w:val="0035484B"/>
    <w:rsid w:val="00355AE5"/>
    <w:rsid w:val="0036014E"/>
    <w:rsid w:val="003647C2"/>
    <w:rsid w:val="0037029A"/>
    <w:rsid w:val="00372B07"/>
    <w:rsid w:val="00372B79"/>
    <w:rsid w:val="00374BDC"/>
    <w:rsid w:val="003835C6"/>
    <w:rsid w:val="00386260"/>
    <w:rsid w:val="00390BC8"/>
    <w:rsid w:val="003928C9"/>
    <w:rsid w:val="0039384A"/>
    <w:rsid w:val="003A4F0F"/>
    <w:rsid w:val="003A5780"/>
    <w:rsid w:val="003A60EF"/>
    <w:rsid w:val="003B0A34"/>
    <w:rsid w:val="003B6BEC"/>
    <w:rsid w:val="003C095C"/>
    <w:rsid w:val="003D4CDB"/>
    <w:rsid w:val="003E2BAF"/>
    <w:rsid w:val="003E4BF9"/>
    <w:rsid w:val="003E65C1"/>
    <w:rsid w:val="003E6D36"/>
    <w:rsid w:val="003F00D6"/>
    <w:rsid w:val="003F0C90"/>
    <w:rsid w:val="004022FB"/>
    <w:rsid w:val="004053C1"/>
    <w:rsid w:val="004077E4"/>
    <w:rsid w:val="004102BD"/>
    <w:rsid w:val="00413183"/>
    <w:rsid w:val="0041617A"/>
    <w:rsid w:val="00417594"/>
    <w:rsid w:val="0042365C"/>
    <w:rsid w:val="00423BDA"/>
    <w:rsid w:val="004267BE"/>
    <w:rsid w:val="004307B0"/>
    <w:rsid w:val="00430D8F"/>
    <w:rsid w:val="00431689"/>
    <w:rsid w:val="0043184F"/>
    <w:rsid w:val="00432CC3"/>
    <w:rsid w:val="0044464E"/>
    <w:rsid w:val="00445E71"/>
    <w:rsid w:val="00446BC8"/>
    <w:rsid w:val="00452759"/>
    <w:rsid w:val="00453A06"/>
    <w:rsid w:val="004543E1"/>
    <w:rsid w:val="00457DAA"/>
    <w:rsid w:val="00460C20"/>
    <w:rsid w:val="00460CFD"/>
    <w:rsid w:val="0046204F"/>
    <w:rsid w:val="004640CE"/>
    <w:rsid w:val="004711AA"/>
    <w:rsid w:val="00471782"/>
    <w:rsid w:val="004722BD"/>
    <w:rsid w:val="004722F6"/>
    <w:rsid w:val="00473038"/>
    <w:rsid w:val="00481E92"/>
    <w:rsid w:val="00486B1A"/>
    <w:rsid w:val="00486C5A"/>
    <w:rsid w:val="00490ECC"/>
    <w:rsid w:val="00493DD0"/>
    <w:rsid w:val="004965CA"/>
    <w:rsid w:val="00497678"/>
    <w:rsid w:val="004A4795"/>
    <w:rsid w:val="004B0308"/>
    <w:rsid w:val="004C2E8A"/>
    <w:rsid w:val="004C67FC"/>
    <w:rsid w:val="004D054C"/>
    <w:rsid w:val="004D2FC1"/>
    <w:rsid w:val="004D555E"/>
    <w:rsid w:val="004D5F98"/>
    <w:rsid w:val="004D7B85"/>
    <w:rsid w:val="004E235A"/>
    <w:rsid w:val="004F3681"/>
    <w:rsid w:val="004F4BAB"/>
    <w:rsid w:val="004F4DCB"/>
    <w:rsid w:val="0050344B"/>
    <w:rsid w:val="005048C7"/>
    <w:rsid w:val="005056A4"/>
    <w:rsid w:val="0051487D"/>
    <w:rsid w:val="00515F3D"/>
    <w:rsid w:val="00516EEE"/>
    <w:rsid w:val="005216E4"/>
    <w:rsid w:val="005277FD"/>
    <w:rsid w:val="0053199E"/>
    <w:rsid w:val="00532D11"/>
    <w:rsid w:val="00532F41"/>
    <w:rsid w:val="005371A0"/>
    <w:rsid w:val="0054118A"/>
    <w:rsid w:val="0054667F"/>
    <w:rsid w:val="00546CEA"/>
    <w:rsid w:val="00547DBC"/>
    <w:rsid w:val="0055029C"/>
    <w:rsid w:val="00550E42"/>
    <w:rsid w:val="00553B31"/>
    <w:rsid w:val="005542CF"/>
    <w:rsid w:val="00556008"/>
    <w:rsid w:val="00556A45"/>
    <w:rsid w:val="005570D6"/>
    <w:rsid w:val="00564E24"/>
    <w:rsid w:val="005654E7"/>
    <w:rsid w:val="00570516"/>
    <w:rsid w:val="005707F4"/>
    <w:rsid w:val="00572744"/>
    <w:rsid w:val="0057391E"/>
    <w:rsid w:val="00574002"/>
    <w:rsid w:val="00575BBA"/>
    <w:rsid w:val="00576993"/>
    <w:rsid w:val="0059019A"/>
    <w:rsid w:val="005921B0"/>
    <w:rsid w:val="00597A23"/>
    <w:rsid w:val="005A1857"/>
    <w:rsid w:val="005A468C"/>
    <w:rsid w:val="005A5036"/>
    <w:rsid w:val="005A7E30"/>
    <w:rsid w:val="005B0631"/>
    <w:rsid w:val="005B0AEE"/>
    <w:rsid w:val="005B2D18"/>
    <w:rsid w:val="005B4E47"/>
    <w:rsid w:val="005B5193"/>
    <w:rsid w:val="005B7811"/>
    <w:rsid w:val="005C1AB0"/>
    <w:rsid w:val="005C2A87"/>
    <w:rsid w:val="005C33F2"/>
    <w:rsid w:val="005C4212"/>
    <w:rsid w:val="005D11EA"/>
    <w:rsid w:val="005D25B9"/>
    <w:rsid w:val="005D336C"/>
    <w:rsid w:val="005D4293"/>
    <w:rsid w:val="005D5A43"/>
    <w:rsid w:val="005E4D10"/>
    <w:rsid w:val="005E4FBF"/>
    <w:rsid w:val="005E69BC"/>
    <w:rsid w:val="005F1781"/>
    <w:rsid w:val="005F4443"/>
    <w:rsid w:val="005F5BB6"/>
    <w:rsid w:val="00601A74"/>
    <w:rsid w:val="00604BD2"/>
    <w:rsid w:val="00605E37"/>
    <w:rsid w:val="00606F93"/>
    <w:rsid w:val="006071DD"/>
    <w:rsid w:val="00613142"/>
    <w:rsid w:val="00613544"/>
    <w:rsid w:val="006166C4"/>
    <w:rsid w:val="00620C14"/>
    <w:rsid w:val="00623248"/>
    <w:rsid w:val="00623A3C"/>
    <w:rsid w:val="0062546B"/>
    <w:rsid w:val="00625BFB"/>
    <w:rsid w:val="0062631E"/>
    <w:rsid w:val="00631C4E"/>
    <w:rsid w:val="006342D0"/>
    <w:rsid w:val="00651428"/>
    <w:rsid w:val="00656C2D"/>
    <w:rsid w:val="00656DAE"/>
    <w:rsid w:val="00660764"/>
    <w:rsid w:val="00662CDD"/>
    <w:rsid w:val="00662EF4"/>
    <w:rsid w:val="00667B71"/>
    <w:rsid w:val="006705E8"/>
    <w:rsid w:val="00675C85"/>
    <w:rsid w:val="00682128"/>
    <w:rsid w:val="006832E3"/>
    <w:rsid w:val="00685627"/>
    <w:rsid w:val="006862EF"/>
    <w:rsid w:val="00687F75"/>
    <w:rsid w:val="0069668E"/>
    <w:rsid w:val="00696A77"/>
    <w:rsid w:val="006A077B"/>
    <w:rsid w:val="006A3723"/>
    <w:rsid w:val="006A3C8C"/>
    <w:rsid w:val="006B0809"/>
    <w:rsid w:val="006B1364"/>
    <w:rsid w:val="006B1746"/>
    <w:rsid w:val="006B5957"/>
    <w:rsid w:val="006B698E"/>
    <w:rsid w:val="006C3E1A"/>
    <w:rsid w:val="006C64A2"/>
    <w:rsid w:val="006D7629"/>
    <w:rsid w:val="006E7E81"/>
    <w:rsid w:val="006F0D9D"/>
    <w:rsid w:val="0070092E"/>
    <w:rsid w:val="007047BA"/>
    <w:rsid w:val="00704D79"/>
    <w:rsid w:val="00716897"/>
    <w:rsid w:val="00716AB2"/>
    <w:rsid w:val="0072123F"/>
    <w:rsid w:val="00725F43"/>
    <w:rsid w:val="0073173B"/>
    <w:rsid w:val="00731BDB"/>
    <w:rsid w:val="00735B3B"/>
    <w:rsid w:val="00737017"/>
    <w:rsid w:val="007415B2"/>
    <w:rsid w:val="007417DA"/>
    <w:rsid w:val="0074487A"/>
    <w:rsid w:val="00745429"/>
    <w:rsid w:val="0074568A"/>
    <w:rsid w:val="00746B12"/>
    <w:rsid w:val="00752B63"/>
    <w:rsid w:val="00753390"/>
    <w:rsid w:val="00753E96"/>
    <w:rsid w:val="00754B7B"/>
    <w:rsid w:val="007557D8"/>
    <w:rsid w:val="00757BA5"/>
    <w:rsid w:val="00763D47"/>
    <w:rsid w:val="00767ACB"/>
    <w:rsid w:val="0077261F"/>
    <w:rsid w:val="007727FF"/>
    <w:rsid w:val="007757A2"/>
    <w:rsid w:val="00775D04"/>
    <w:rsid w:val="007804D3"/>
    <w:rsid w:val="007874F4"/>
    <w:rsid w:val="00793CE8"/>
    <w:rsid w:val="007954F1"/>
    <w:rsid w:val="007A398E"/>
    <w:rsid w:val="007B3D36"/>
    <w:rsid w:val="007B3D44"/>
    <w:rsid w:val="007B5E9B"/>
    <w:rsid w:val="007B6558"/>
    <w:rsid w:val="007B7901"/>
    <w:rsid w:val="007C3D9B"/>
    <w:rsid w:val="007C45F2"/>
    <w:rsid w:val="007D2D3C"/>
    <w:rsid w:val="007D3984"/>
    <w:rsid w:val="007D5F0B"/>
    <w:rsid w:val="007E006D"/>
    <w:rsid w:val="007E1684"/>
    <w:rsid w:val="007E414C"/>
    <w:rsid w:val="007E431B"/>
    <w:rsid w:val="007E4B74"/>
    <w:rsid w:val="007E7E5E"/>
    <w:rsid w:val="007F1037"/>
    <w:rsid w:val="007F287A"/>
    <w:rsid w:val="007F5D61"/>
    <w:rsid w:val="00802294"/>
    <w:rsid w:val="00802E35"/>
    <w:rsid w:val="00803C0C"/>
    <w:rsid w:val="008051DE"/>
    <w:rsid w:val="00811136"/>
    <w:rsid w:val="00815766"/>
    <w:rsid w:val="00815DF8"/>
    <w:rsid w:val="00820218"/>
    <w:rsid w:val="008248AD"/>
    <w:rsid w:val="008249BD"/>
    <w:rsid w:val="0083669A"/>
    <w:rsid w:val="00842038"/>
    <w:rsid w:val="0084562A"/>
    <w:rsid w:val="00846F82"/>
    <w:rsid w:val="00852C96"/>
    <w:rsid w:val="008534EB"/>
    <w:rsid w:val="008535A2"/>
    <w:rsid w:val="0085552F"/>
    <w:rsid w:val="00855824"/>
    <w:rsid w:val="00856606"/>
    <w:rsid w:val="008621F5"/>
    <w:rsid w:val="00863374"/>
    <w:rsid w:val="0087331F"/>
    <w:rsid w:val="008776D4"/>
    <w:rsid w:val="0088019A"/>
    <w:rsid w:val="0088485A"/>
    <w:rsid w:val="0088541F"/>
    <w:rsid w:val="00886700"/>
    <w:rsid w:val="008869D3"/>
    <w:rsid w:val="008910DF"/>
    <w:rsid w:val="00892C47"/>
    <w:rsid w:val="00897E4A"/>
    <w:rsid w:val="008A0537"/>
    <w:rsid w:val="008A36CB"/>
    <w:rsid w:val="008A5F2C"/>
    <w:rsid w:val="008A6839"/>
    <w:rsid w:val="008A79D4"/>
    <w:rsid w:val="008B039E"/>
    <w:rsid w:val="008C04EA"/>
    <w:rsid w:val="008C1F2F"/>
    <w:rsid w:val="008C3988"/>
    <w:rsid w:val="008D4CF1"/>
    <w:rsid w:val="008D721B"/>
    <w:rsid w:val="008D766A"/>
    <w:rsid w:val="008E368B"/>
    <w:rsid w:val="008E3A43"/>
    <w:rsid w:val="008E55D8"/>
    <w:rsid w:val="008E5C9D"/>
    <w:rsid w:val="008E5D2F"/>
    <w:rsid w:val="008E6ECB"/>
    <w:rsid w:val="008F0058"/>
    <w:rsid w:val="008F057B"/>
    <w:rsid w:val="008F147D"/>
    <w:rsid w:val="008F3AAE"/>
    <w:rsid w:val="008F666C"/>
    <w:rsid w:val="009047E2"/>
    <w:rsid w:val="00904C86"/>
    <w:rsid w:val="00907DEA"/>
    <w:rsid w:val="00911208"/>
    <w:rsid w:val="0091158C"/>
    <w:rsid w:val="009151BF"/>
    <w:rsid w:val="00922AF3"/>
    <w:rsid w:val="00926C12"/>
    <w:rsid w:val="009310B8"/>
    <w:rsid w:val="00933D93"/>
    <w:rsid w:val="00937CD7"/>
    <w:rsid w:val="00944757"/>
    <w:rsid w:val="00946339"/>
    <w:rsid w:val="0095269C"/>
    <w:rsid w:val="00952873"/>
    <w:rsid w:val="0096018D"/>
    <w:rsid w:val="00961B3E"/>
    <w:rsid w:val="00971B75"/>
    <w:rsid w:val="00972FA6"/>
    <w:rsid w:val="009730D5"/>
    <w:rsid w:val="00975FD6"/>
    <w:rsid w:val="0097661F"/>
    <w:rsid w:val="009778FC"/>
    <w:rsid w:val="00981A26"/>
    <w:rsid w:val="009820F2"/>
    <w:rsid w:val="009835E3"/>
    <w:rsid w:val="00985942"/>
    <w:rsid w:val="009861BA"/>
    <w:rsid w:val="00990AAA"/>
    <w:rsid w:val="009916DD"/>
    <w:rsid w:val="0099366D"/>
    <w:rsid w:val="009974A1"/>
    <w:rsid w:val="009A1837"/>
    <w:rsid w:val="009A41C6"/>
    <w:rsid w:val="009A4AE8"/>
    <w:rsid w:val="009A657A"/>
    <w:rsid w:val="009B173B"/>
    <w:rsid w:val="009B5E6C"/>
    <w:rsid w:val="009C1333"/>
    <w:rsid w:val="009D2B05"/>
    <w:rsid w:val="009D61CA"/>
    <w:rsid w:val="009D7675"/>
    <w:rsid w:val="009D7BB8"/>
    <w:rsid w:val="009E1AEF"/>
    <w:rsid w:val="009E2AD1"/>
    <w:rsid w:val="009E4470"/>
    <w:rsid w:val="009E4EFA"/>
    <w:rsid w:val="009E52D8"/>
    <w:rsid w:val="009E6138"/>
    <w:rsid w:val="009F352C"/>
    <w:rsid w:val="009F4866"/>
    <w:rsid w:val="009F722B"/>
    <w:rsid w:val="009F7746"/>
    <w:rsid w:val="00A0272F"/>
    <w:rsid w:val="00A050F3"/>
    <w:rsid w:val="00A05B55"/>
    <w:rsid w:val="00A13A0F"/>
    <w:rsid w:val="00A1670C"/>
    <w:rsid w:val="00A16E2E"/>
    <w:rsid w:val="00A173B0"/>
    <w:rsid w:val="00A21384"/>
    <w:rsid w:val="00A30856"/>
    <w:rsid w:val="00A31DC5"/>
    <w:rsid w:val="00A41A5D"/>
    <w:rsid w:val="00A438BD"/>
    <w:rsid w:val="00A47F47"/>
    <w:rsid w:val="00A555B1"/>
    <w:rsid w:val="00A6354D"/>
    <w:rsid w:val="00A642DC"/>
    <w:rsid w:val="00A64A0A"/>
    <w:rsid w:val="00A664F7"/>
    <w:rsid w:val="00A67DC9"/>
    <w:rsid w:val="00A73236"/>
    <w:rsid w:val="00A75556"/>
    <w:rsid w:val="00A80158"/>
    <w:rsid w:val="00A845EB"/>
    <w:rsid w:val="00A874E3"/>
    <w:rsid w:val="00A878FC"/>
    <w:rsid w:val="00A9307C"/>
    <w:rsid w:val="00A949BB"/>
    <w:rsid w:val="00A95942"/>
    <w:rsid w:val="00AA0C84"/>
    <w:rsid w:val="00AB1226"/>
    <w:rsid w:val="00AB3244"/>
    <w:rsid w:val="00AB58D3"/>
    <w:rsid w:val="00AB731C"/>
    <w:rsid w:val="00AC230D"/>
    <w:rsid w:val="00AC5937"/>
    <w:rsid w:val="00AC62AC"/>
    <w:rsid w:val="00AC6F02"/>
    <w:rsid w:val="00AC7B20"/>
    <w:rsid w:val="00AC7C98"/>
    <w:rsid w:val="00AD0CA6"/>
    <w:rsid w:val="00AD354D"/>
    <w:rsid w:val="00AD51E2"/>
    <w:rsid w:val="00AD7CAB"/>
    <w:rsid w:val="00AE0BE4"/>
    <w:rsid w:val="00AE181E"/>
    <w:rsid w:val="00AE1D33"/>
    <w:rsid w:val="00AE30BF"/>
    <w:rsid w:val="00AE3DE4"/>
    <w:rsid w:val="00AE7237"/>
    <w:rsid w:val="00AF557D"/>
    <w:rsid w:val="00AF57A1"/>
    <w:rsid w:val="00AF5C6D"/>
    <w:rsid w:val="00AF69EA"/>
    <w:rsid w:val="00AF7DE2"/>
    <w:rsid w:val="00B002BD"/>
    <w:rsid w:val="00B0050B"/>
    <w:rsid w:val="00B0064E"/>
    <w:rsid w:val="00B06D3C"/>
    <w:rsid w:val="00B1137E"/>
    <w:rsid w:val="00B1202D"/>
    <w:rsid w:val="00B15802"/>
    <w:rsid w:val="00B1678B"/>
    <w:rsid w:val="00B214F5"/>
    <w:rsid w:val="00B24128"/>
    <w:rsid w:val="00B27372"/>
    <w:rsid w:val="00B33229"/>
    <w:rsid w:val="00B33CC3"/>
    <w:rsid w:val="00B349D0"/>
    <w:rsid w:val="00B34BAD"/>
    <w:rsid w:val="00B3529B"/>
    <w:rsid w:val="00B451BC"/>
    <w:rsid w:val="00B4726B"/>
    <w:rsid w:val="00B472CD"/>
    <w:rsid w:val="00B504FC"/>
    <w:rsid w:val="00B525C2"/>
    <w:rsid w:val="00B56367"/>
    <w:rsid w:val="00B5775B"/>
    <w:rsid w:val="00B60567"/>
    <w:rsid w:val="00B61DD0"/>
    <w:rsid w:val="00B62632"/>
    <w:rsid w:val="00B7547D"/>
    <w:rsid w:val="00B8093B"/>
    <w:rsid w:val="00B844DB"/>
    <w:rsid w:val="00B851D8"/>
    <w:rsid w:val="00B93E26"/>
    <w:rsid w:val="00B955F3"/>
    <w:rsid w:val="00B976AE"/>
    <w:rsid w:val="00BA0B84"/>
    <w:rsid w:val="00BA16E6"/>
    <w:rsid w:val="00BA3989"/>
    <w:rsid w:val="00BB58C6"/>
    <w:rsid w:val="00BB6A11"/>
    <w:rsid w:val="00BD252D"/>
    <w:rsid w:val="00BD4930"/>
    <w:rsid w:val="00BD52F5"/>
    <w:rsid w:val="00BD7A6E"/>
    <w:rsid w:val="00BE1DBF"/>
    <w:rsid w:val="00BE5258"/>
    <w:rsid w:val="00BE7BA4"/>
    <w:rsid w:val="00BF1FBF"/>
    <w:rsid w:val="00BF2705"/>
    <w:rsid w:val="00BF3BEE"/>
    <w:rsid w:val="00C017F0"/>
    <w:rsid w:val="00C07A70"/>
    <w:rsid w:val="00C119CF"/>
    <w:rsid w:val="00C1270C"/>
    <w:rsid w:val="00C1628A"/>
    <w:rsid w:val="00C162FA"/>
    <w:rsid w:val="00C2035B"/>
    <w:rsid w:val="00C21331"/>
    <w:rsid w:val="00C21919"/>
    <w:rsid w:val="00C230C8"/>
    <w:rsid w:val="00C24D7A"/>
    <w:rsid w:val="00C326D3"/>
    <w:rsid w:val="00C35517"/>
    <w:rsid w:val="00C36022"/>
    <w:rsid w:val="00C41A1E"/>
    <w:rsid w:val="00C41AA1"/>
    <w:rsid w:val="00C42022"/>
    <w:rsid w:val="00C4371D"/>
    <w:rsid w:val="00C464E6"/>
    <w:rsid w:val="00C47647"/>
    <w:rsid w:val="00C5373A"/>
    <w:rsid w:val="00C55BAB"/>
    <w:rsid w:val="00C56B81"/>
    <w:rsid w:val="00C578B2"/>
    <w:rsid w:val="00C60AF3"/>
    <w:rsid w:val="00C6195D"/>
    <w:rsid w:val="00C62AD3"/>
    <w:rsid w:val="00C7017D"/>
    <w:rsid w:val="00C80DBA"/>
    <w:rsid w:val="00C8336B"/>
    <w:rsid w:val="00C973BB"/>
    <w:rsid w:val="00C97947"/>
    <w:rsid w:val="00C97AE1"/>
    <w:rsid w:val="00CA08D9"/>
    <w:rsid w:val="00CA0E3A"/>
    <w:rsid w:val="00CA19AA"/>
    <w:rsid w:val="00CA4EED"/>
    <w:rsid w:val="00CA6473"/>
    <w:rsid w:val="00CB3108"/>
    <w:rsid w:val="00CB6554"/>
    <w:rsid w:val="00CB765B"/>
    <w:rsid w:val="00CC01C5"/>
    <w:rsid w:val="00CC1764"/>
    <w:rsid w:val="00CC38DE"/>
    <w:rsid w:val="00CC74F8"/>
    <w:rsid w:val="00CD072A"/>
    <w:rsid w:val="00CD1620"/>
    <w:rsid w:val="00CD29AA"/>
    <w:rsid w:val="00CD3BDB"/>
    <w:rsid w:val="00CD4C35"/>
    <w:rsid w:val="00CD5010"/>
    <w:rsid w:val="00CD5F36"/>
    <w:rsid w:val="00CD62AC"/>
    <w:rsid w:val="00CD716F"/>
    <w:rsid w:val="00CE1C4B"/>
    <w:rsid w:val="00CE7AB2"/>
    <w:rsid w:val="00CF3388"/>
    <w:rsid w:val="00CF5FAB"/>
    <w:rsid w:val="00D02006"/>
    <w:rsid w:val="00D133A9"/>
    <w:rsid w:val="00D20343"/>
    <w:rsid w:val="00D22797"/>
    <w:rsid w:val="00D32512"/>
    <w:rsid w:val="00D42C5B"/>
    <w:rsid w:val="00D45B67"/>
    <w:rsid w:val="00D51C21"/>
    <w:rsid w:val="00D51D8E"/>
    <w:rsid w:val="00D52BCE"/>
    <w:rsid w:val="00D52CEA"/>
    <w:rsid w:val="00D533AF"/>
    <w:rsid w:val="00D5554D"/>
    <w:rsid w:val="00D57213"/>
    <w:rsid w:val="00D603E5"/>
    <w:rsid w:val="00D60E07"/>
    <w:rsid w:val="00D61294"/>
    <w:rsid w:val="00D615A2"/>
    <w:rsid w:val="00D654D9"/>
    <w:rsid w:val="00D6627C"/>
    <w:rsid w:val="00D70206"/>
    <w:rsid w:val="00D76D94"/>
    <w:rsid w:val="00D82C2F"/>
    <w:rsid w:val="00D83284"/>
    <w:rsid w:val="00D85766"/>
    <w:rsid w:val="00D86D5F"/>
    <w:rsid w:val="00D87799"/>
    <w:rsid w:val="00D900B5"/>
    <w:rsid w:val="00D91717"/>
    <w:rsid w:val="00D924FC"/>
    <w:rsid w:val="00D96B93"/>
    <w:rsid w:val="00DA01A6"/>
    <w:rsid w:val="00DA1E84"/>
    <w:rsid w:val="00DA274F"/>
    <w:rsid w:val="00DA2870"/>
    <w:rsid w:val="00DA4E4F"/>
    <w:rsid w:val="00DA5533"/>
    <w:rsid w:val="00DA61B7"/>
    <w:rsid w:val="00DA7573"/>
    <w:rsid w:val="00DB562B"/>
    <w:rsid w:val="00DC05D2"/>
    <w:rsid w:val="00DC68F6"/>
    <w:rsid w:val="00DE02F2"/>
    <w:rsid w:val="00DE2E13"/>
    <w:rsid w:val="00DE2FD2"/>
    <w:rsid w:val="00DE2FFD"/>
    <w:rsid w:val="00DF2363"/>
    <w:rsid w:val="00DF38BB"/>
    <w:rsid w:val="00E022F3"/>
    <w:rsid w:val="00E032A9"/>
    <w:rsid w:val="00E12CFC"/>
    <w:rsid w:val="00E16F2D"/>
    <w:rsid w:val="00E23659"/>
    <w:rsid w:val="00E272E7"/>
    <w:rsid w:val="00E302C1"/>
    <w:rsid w:val="00E31B78"/>
    <w:rsid w:val="00E33494"/>
    <w:rsid w:val="00E358EC"/>
    <w:rsid w:val="00E4202D"/>
    <w:rsid w:val="00E4764A"/>
    <w:rsid w:val="00E47EB6"/>
    <w:rsid w:val="00E50613"/>
    <w:rsid w:val="00E509C0"/>
    <w:rsid w:val="00E50BF9"/>
    <w:rsid w:val="00E53570"/>
    <w:rsid w:val="00E5568A"/>
    <w:rsid w:val="00E56339"/>
    <w:rsid w:val="00E576AE"/>
    <w:rsid w:val="00E60C0C"/>
    <w:rsid w:val="00E65CFB"/>
    <w:rsid w:val="00E65DB0"/>
    <w:rsid w:val="00E66F7E"/>
    <w:rsid w:val="00E67F87"/>
    <w:rsid w:val="00E72074"/>
    <w:rsid w:val="00E77308"/>
    <w:rsid w:val="00E81BFA"/>
    <w:rsid w:val="00E871C5"/>
    <w:rsid w:val="00E95688"/>
    <w:rsid w:val="00EA04F6"/>
    <w:rsid w:val="00EA0B23"/>
    <w:rsid w:val="00EA4BA3"/>
    <w:rsid w:val="00EC15CE"/>
    <w:rsid w:val="00EC209B"/>
    <w:rsid w:val="00EC52A2"/>
    <w:rsid w:val="00ED2066"/>
    <w:rsid w:val="00ED270B"/>
    <w:rsid w:val="00ED3657"/>
    <w:rsid w:val="00ED3BAD"/>
    <w:rsid w:val="00ED60A8"/>
    <w:rsid w:val="00EE11A2"/>
    <w:rsid w:val="00EE44BD"/>
    <w:rsid w:val="00EE6BB6"/>
    <w:rsid w:val="00EE777B"/>
    <w:rsid w:val="00EE7981"/>
    <w:rsid w:val="00EF3F7B"/>
    <w:rsid w:val="00EF6182"/>
    <w:rsid w:val="00F00EB7"/>
    <w:rsid w:val="00F07456"/>
    <w:rsid w:val="00F07F74"/>
    <w:rsid w:val="00F11700"/>
    <w:rsid w:val="00F11F84"/>
    <w:rsid w:val="00F13515"/>
    <w:rsid w:val="00F14C23"/>
    <w:rsid w:val="00F15286"/>
    <w:rsid w:val="00F15606"/>
    <w:rsid w:val="00F20A8B"/>
    <w:rsid w:val="00F21668"/>
    <w:rsid w:val="00F23105"/>
    <w:rsid w:val="00F32108"/>
    <w:rsid w:val="00F32350"/>
    <w:rsid w:val="00F3256D"/>
    <w:rsid w:val="00F36101"/>
    <w:rsid w:val="00F36CEA"/>
    <w:rsid w:val="00F4018E"/>
    <w:rsid w:val="00F4417C"/>
    <w:rsid w:val="00F45879"/>
    <w:rsid w:val="00F45E1A"/>
    <w:rsid w:val="00F51B30"/>
    <w:rsid w:val="00F52669"/>
    <w:rsid w:val="00F55D9B"/>
    <w:rsid w:val="00F56947"/>
    <w:rsid w:val="00F602DB"/>
    <w:rsid w:val="00F60612"/>
    <w:rsid w:val="00F61086"/>
    <w:rsid w:val="00F65D8E"/>
    <w:rsid w:val="00F66E51"/>
    <w:rsid w:val="00F71291"/>
    <w:rsid w:val="00F769C2"/>
    <w:rsid w:val="00F80633"/>
    <w:rsid w:val="00F860DD"/>
    <w:rsid w:val="00F934B4"/>
    <w:rsid w:val="00F94526"/>
    <w:rsid w:val="00F94761"/>
    <w:rsid w:val="00F97C22"/>
    <w:rsid w:val="00F97F69"/>
    <w:rsid w:val="00FA02BD"/>
    <w:rsid w:val="00FA0358"/>
    <w:rsid w:val="00FA2306"/>
    <w:rsid w:val="00FA4A05"/>
    <w:rsid w:val="00FC0D46"/>
    <w:rsid w:val="00FC1D69"/>
    <w:rsid w:val="00FC5D94"/>
    <w:rsid w:val="00FC5E88"/>
    <w:rsid w:val="00FC63F1"/>
    <w:rsid w:val="00FC6544"/>
    <w:rsid w:val="00FC6EB3"/>
    <w:rsid w:val="00FC7AE8"/>
    <w:rsid w:val="00FD171A"/>
    <w:rsid w:val="00FD2EEB"/>
    <w:rsid w:val="00FD49E1"/>
    <w:rsid w:val="00FD7B05"/>
    <w:rsid w:val="00FE2D2B"/>
    <w:rsid w:val="00FE2DD7"/>
    <w:rsid w:val="00FE4127"/>
    <w:rsid w:val="00FE41DE"/>
    <w:rsid w:val="00FE4BD9"/>
    <w:rsid w:val="00FE5B1F"/>
    <w:rsid w:val="00FE6BED"/>
    <w:rsid w:val="00FF0E3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2D7DA8"/>
  <w15:docId w15:val="{9A57352D-533B-4104-B9AA-B7F6C52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1DC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5E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5E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E60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286F4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C5E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FC5E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8Char">
    <w:name w:val="Címsor 8 Char"/>
    <w:link w:val="Cmsor8"/>
    <w:uiPriority w:val="99"/>
    <w:semiHidden/>
    <w:locked/>
    <w:rsid w:val="00286F4B"/>
    <w:rPr>
      <w:rFonts w:ascii="Cambria" w:hAnsi="Cambria" w:cs="Times New Roman"/>
      <w:color w:val="40404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472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472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472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B4726B"/>
    <w:rPr>
      <w:rFonts w:cs="Times New Roman"/>
    </w:rPr>
  </w:style>
  <w:style w:type="paragraph" w:styleId="llb">
    <w:name w:val="footer"/>
    <w:basedOn w:val="Norml"/>
    <w:link w:val="llbChar"/>
    <w:uiPriority w:val="99"/>
    <w:rsid w:val="00B472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B4726B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FC5E88"/>
    <w:pPr>
      <w:ind w:left="720"/>
      <w:contextualSpacing/>
    </w:pPr>
  </w:style>
  <w:style w:type="character" w:styleId="Knyvcme">
    <w:name w:val="Book Title"/>
    <w:uiPriority w:val="99"/>
    <w:qFormat/>
    <w:rsid w:val="005654E7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707F4"/>
    <w:pPr>
      <w:outlineLvl w:val="9"/>
    </w:pPr>
  </w:style>
  <w:style w:type="paragraph" w:styleId="TJ1">
    <w:name w:val="toc 1"/>
    <w:basedOn w:val="Norml"/>
    <w:next w:val="Norml"/>
    <w:autoRedefine/>
    <w:uiPriority w:val="39"/>
    <w:rsid w:val="005707F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5707F4"/>
    <w:pPr>
      <w:spacing w:after="100"/>
      <w:ind w:left="220"/>
    </w:pPr>
  </w:style>
  <w:style w:type="character" w:styleId="Hiperhivatkozs">
    <w:name w:val="Hyperlink"/>
    <w:uiPriority w:val="99"/>
    <w:rsid w:val="005707F4"/>
    <w:rPr>
      <w:rFonts w:cs="Times New Roman"/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C55BAB"/>
    <w:pPr>
      <w:spacing w:after="0" w:line="240" w:lineRule="auto"/>
      <w:jc w:val="both"/>
    </w:pPr>
    <w:rPr>
      <w:rFonts w:ascii="Times New Roman" w:eastAsia="Times New Roman" w:hAnsi="Times New Roman"/>
      <w:i/>
      <w:sz w:val="26"/>
      <w:szCs w:val="20"/>
      <w:lang w:val="en-US" w:eastAsia="hu-HU"/>
    </w:rPr>
  </w:style>
  <w:style w:type="paragraph" w:styleId="Szvegtrzs">
    <w:name w:val="Body Text"/>
    <w:basedOn w:val="Norml"/>
    <w:link w:val="SzvegtrzsChar"/>
    <w:uiPriority w:val="99"/>
    <w:rsid w:val="00863374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locked/>
    <w:rsid w:val="000B2AA8"/>
    <w:rPr>
      <w:rFonts w:cs="Times New Roman"/>
      <w:lang w:eastAsia="en-US"/>
    </w:rPr>
  </w:style>
  <w:style w:type="paragraph" w:styleId="NormlWeb">
    <w:name w:val="Normal (Web)"/>
    <w:basedOn w:val="Norml"/>
    <w:uiPriority w:val="99"/>
    <w:rsid w:val="0086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locked/>
    <w:rsid w:val="00863374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E65D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E65D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incstrkz">
    <w:name w:val="No Spacing"/>
    <w:uiPriority w:val="1"/>
    <w:qFormat/>
    <w:rsid w:val="00F51B30"/>
    <w:rPr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60C0C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60C0C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rsid w:val="00E60C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J3">
    <w:name w:val="toc 3"/>
    <w:basedOn w:val="Norml"/>
    <w:next w:val="Norml"/>
    <w:autoRedefine/>
    <w:uiPriority w:val="39"/>
    <w:locked/>
    <w:rsid w:val="00E60C0C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666"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672">
          <w:marLeft w:val="0"/>
          <w:marRight w:val="0"/>
          <w:marTop w:val="0"/>
          <w:marBottom w:val="0"/>
          <w:divBdr>
            <w:top w:val="single" w:sz="2" w:space="0" w:color="006600"/>
            <w:left w:val="single" w:sz="2" w:space="0" w:color="006600"/>
            <w:bottom w:val="single" w:sz="2" w:space="0" w:color="006600"/>
            <w:right w:val="single" w:sz="2" w:space="0" w:color="006600"/>
          </w:divBdr>
          <w:divsChild>
            <w:div w:id="147117367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67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tkarsag@vpkozuz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kozuzem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A653-8147-478D-8897-F9B6D28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5532</Words>
  <Characters>37280</Characters>
  <Application>Microsoft Office Word</Application>
  <DocSecurity>0</DocSecurity>
  <Lines>310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VÁRPALOTAI KÖZÜZEMI KFT.  ÜZLETI TERV 2010</Company>
  <LinksUpToDate>false</LinksUpToDate>
  <CharactersWithSpaces>42727</CharactersWithSpaces>
  <SharedDoc>false</SharedDoc>
  <HLinks>
    <vt:vector size="66" baseType="variant">
      <vt:variant>
        <vt:i4>983098</vt:i4>
      </vt:variant>
      <vt:variant>
        <vt:i4>60</vt:i4>
      </vt:variant>
      <vt:variant>
        <vt:i4>0</vt:i4>
      </vt:variant>
      <vt:variant>
        <vt:i4>5</vt:i4>
      </vt:variant>
      <vt:variant>
        <vt:lpwstr>mailto:titkarsag@vpkozuzem.hu</vt:lpwstr>
      </vt:variant>
      <vt:variant>
        <vt:lpwstr/>
      </vt:variant>
      <vt:variant>
        <vt:i4>1835012</vt:i4>
      </vt:variant>
      <vt:variant>
        <vt:i4>57</vt:i4>
      </vt:variant>
      <vt:variant>
        <vt:i4>0</vt:i4>
      </vt:variant>
      <vt:variant>
        <vt:i4>5</vt:i4>
      </vt:variant>
      <vt:variant>
        <vt:lpwstr>http://www.vpkozuzem.hu/</vt:lpwstr>
      </vt:variant>
      <vt:variant>
        <vt:lpwstr/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_Toc387066704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_Toc387066703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_Toc387066702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_Toc387066701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_Toc387066700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_Toc387066699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_Toc387066698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_Toc387066697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_Toc387066696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lakatost</dc:creator>
  <cp:keywords/>
  <dc:description/>
  <cp:lastModifiedBy>Lakatos Tamás</cp:lastModifiedBy>
  <cp:revision>18</cp:revision>
  <cp:lastPrinted>2013-03-19T13:41:00Z</cp:lastPrinted>
  <dcterms:created xsi:type="dcterms:W3CDTF">2019-04-04T08:45:00Z</dcterms:created>
  <dcterms:modified xsi:type="dcterms:W3CDTF">2019-04-10T12:27:00Z</dcterms:modified>
</cp:coreProperties>
</file>