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78" w:rsidRPr="00E15AC3" w:rsidRDefault="00835351" w:rsidP="00E15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AC3">
        <w:rPr>
          <w:rFonts w:ascii="Times New Roman" w:hAnsi="Times New Roman" w:cs="Times New Roman"/>
          <w:b/>
          <w:sz w:val="28"/>
          <w:szCs w:val="28"/>
          <w:u w:val="single"/>
        </w:rPr>
        <w:t>EGYESÜLÉSI TERV</w:t>
      </w:r>
    </w:p>
    <w:p w:rsidR="00835351" w:rsidRDefault="00835351" w:rsidP="00E15AC3">
      <w:pPr>
        <w:spacing w:after="0" w:line="240" w:lineRule="auto"/>
        <w:rPr>
          <w:rFonts w:ascii="Times New Roman" w:hAnsi="Times New Roman" w:cs="Times New Roman"/>
        </w:rPr>
      </w:pPr>
    </w:p>
    <w:p w:rsidR="00A77308" w:rsidRPr="009E5CCD" w:rsidRDefault="00234823" w:rsidP="0023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CD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Várpalotai Hulladékgazdálkodási Közszolgáltató Nonprofit Korlátolt Felelősségű Társaságnak a Várpalotai Közszolgáltató Nonprofit Korlátolt Felelősségű Társaságba beolvadással történő egyesüléséről.</w:t>
      </w:r>
    </w:p>
    <w:p w:rsidR="00A77308" w:rsidRPr="009E5CCD" w:rsidRDefault="00A77308" w:rsidP="00E15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F81" w:rsidRPr="009E5CCD" w:rsidRDefault="00F91F81" w:rsidP="00A77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7308" w:rsidRPr="009E5CCD" w:rsidRDefault="00B246FB" w:rsidP="00A77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b/>
          <w:sz w:val="24"/>
          <w:szCs w:val="24"/>
        </w:rPr>
        <w:t>1./</w:t>
      </w:r>
      <w:r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308" w:rsidRPr="009E5CCD">
        <w:rPr>
          <w:rFonts w:ascii="Times New Roman" w:hAnsi="Times New Roman" w:cs="Times New Roman"/>
          <w:b/>
          <w:sz w:val="24"/>
          <w:szCs w:val="24"/>
          <w:u w:val="single"/>
        </w:rPr>
        <w:t>Az egyesülés</w:t>
      </w:r>
      <w:r w:rsidR="00234823"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(beolvadás)</w:t>
      </w:r>
      <w:r w:rsidR="00A77308"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indoka</w:t>
      </w:r>
      <w:r w:rsidR="00A77308" w:rsidRPr="009E5CCD">
        <w:rPr>
          <w:rFonts w:ascii="Times New Roman" w:hAnsi="Times New Roman" w:cs="Times New Roman"/>
          <w:sz w:val="24"/>
          <w:szCs w:val="24"/>
        </w:rPr>
        <w:t>:</w:t>
      </w:r>
    </w:p>
    <w:p w:rsidR="00A77308" w:rsidRPr="009E5CCD" w:rsidRDefault="00A77308" w:rsidP="00A77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1C" w:rsidRPr="009E5CCD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 xml:space="preserve">A hulladékgazdálkodási közszolgáltatási </w:t>
      </w:r>
      <w:r w:rsidR="00695CBC" w:rsidRPr="009E5CCD">
        <w:rPr>
          <w:rFonts w:ascii="Times New Roman" w:hAnsi="Times New Roman" w:cs="Times New Roman"/>
          <w:sz w:val="24"/>
          <w:szCs w:val="24"/>
        </w:rPr>
        <w:t xml:space="preserve">feladatokat Várpalota Város Önkormányzata, illetve a környékbeli települési önkormányzatok megbízásából 2013-ig </w:t>
      </w:r>
      <w:r w:rsidRPr="009E5CCD">
        <w:rPr>
          <w:rFonts w:ascii="Times New Roman" w:hAnsi="Times New Roman" w:cs="Times New Roman"/>
          <w:sz w:val="24"/>
          <w:szCs w:val="24"/>
        </w:rPr>
        <w:t>Várpalota városban és környékén a</w:t>
      </w:r>
      <w:r w:rsidR="00695CBC" w:rsidRPr="009E5CCD">
        <w:rPr>
          <w:rFonts w:ascii="Times New Roman" w:hAnsi="Times New Roman" w:cs="Times New Roman"/>
          <w:sz w:val="24"/>
          <w:szCs w:val="24"/>
        </w:rPr>
        <w:t xml:space="preserve">z Önkormányzat egyszemélyes tulajdonában álló </w:t>
      </w:r>
      <w:r w:rsidRPr="009E5CCD">
        <w:rPr>
          <w:rFonts w:ascii="Times New Roman" w:hAnsi="Times New Roman" w:cs="Times New Roman"/>
          <w:sz w:val="24"/>
          <w:szCs w:val="24"/>
        </w:rPr>
        <w:t>Várpalotai Közüzemi Kft.</w:t>
      </w:r>
      <w:r w:rsidR="00695CBC" w:rsidRPr="009E5CCD">
        <w:rPr>
          <w:rFonts w:ascii="Times New Roman" w:hAnsi="Times New Roman" w:cs="Times New Roman"/>
          <w:sz w:val="24"/>
          <w:szCs w:val="24"/>
        </w:rPr>
        <w:t xml:space="preserve"> végezte.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A hulladékgazdálkodási közszolgáltatás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i feladatok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ellátásának jogszabályi feltételei és gazdasági körülményei 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azonban 2013-ban alapvetően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meg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változtak. A Várpalotai Hulladékgazdálkodási Közszolgáltató Nonprofit Korlátolt Felelősségű Társaság (Cg. 19-09-516397, 8100 Várpalota, Fehérvári út 7., a továbbiakban: </w:t>
      </w:r>
      <w:r w:rsidRPr="009E5CCD">
        <w:rPr>
          <w:rFonts w:ascii="Times New Roman" w:hAnsi="Times New Roman" w:cs="Times New Roman"/>
          <w:bCs/>
          <w:i/>
          <w:sz w:val="24"/>
          <w:szCs w:val="24"/>
          <w:lang w:eastAsia="hu-HU"/>
        </w:rPr>
        <w:t>VHG Kft.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) 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ehhez a változáshoz kapcsolódóan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2013. évben a Várpalotai Közüzemi Korlátolt Felelősségű Társaságból (jelenlegi cégneve: Várpalotai Közszolgáltató Nonprofit Korlátolt Felelősségű Társaság, Cg. 19-09-505188, 8100 Várpalota, Fehérvári út 7., a továbbiakban: </w:t>
      </w:r>
      <w:r w:rsidRPr="009E5CCD">
        <w:rPr>
          <w:rFonts w:ascii="Times New Roman" w:hAnsi="Times New Roman" w:cs="Times New Roman"/>
          <w:bCs/>
          <w:i/>
          <w:sz w:val="24"/>
          <w:szCs w:val="24"/>
          <w:lang w:eastAsia="hu-HU"/>
        </w:rPr>
        <w:t>VKSZN Kft.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) történt kiválással éppen amiatt 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jött létre, mert a jogszabályok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már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csak nonprofit cég számára tették lehetővé a 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köz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szolgáltatás nyújtását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. A VKSZN Kft. viszont akkoriban nem volt nonprofit jellegű társaság, így a feltételeknek nem felelt meg, ezért a hulladékgazdálkodási üzletága kiválásával egy önálló társaság létrehozása jelentette a megoldást.</w:t>
      </w:r>
    </w:p>
    <w:p w:rsidR="0087671C" w:rsidRPr="009E5CCD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87671C" w:rsidRPr="009E5CCD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Ezt követően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, 2017-től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hulladékgazdálkodási köz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szolgáltatás 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ellátásának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helyzete </w:t>
      </w:r>
      <w:r w:rsidR="00695CBC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ismét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megváltozott, jelenleg a hulladékgazdálkodást a városban és a városkörnyéken is lényegében a VKSZN Kft. végzi </w:t>
      </w:r>
      <w:r w:rsidR="00084810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egy regionális társasággal kötött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alvállalkozási szerződés keretében, a VHG Kft. </w:t>
      </w:r>
      <w:r w:rsidR="00084810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pedig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érdemi szakmai és gazdasági tevékenységet nem folytat, </w:t>
      </w:r>
      <w:r w:rsidR="00084810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ezért önálló társaságként a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fenntartására nincs szükség, célszerű </w:t>
      </w:r>
      <w:r w:rsidR="00084810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a VKNSZ Kft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-vel történő egyesülés útján, az abba való beolvadással, teljes jogutódlás mellett megszüntetni. Beolvadás esetén a beolvadó VHG Kft. </w:t>
      </w:r>
      <w:r w:rsidR="00084810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tehát </w:t>
      </w: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megszűnik, általános jogutódja az egyesülésben részt vevő VKNSZ Kft. lesz. </w:t>
      </w:r>
      <w:r w:rsidR="00084810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Az egyesülési folyamattal ilyen módon szakmai és pénzügyi-gazdálkodási egyszerűsítést, racionalizálást hajtunk végre, amely a jelenlegihez képest egyértelmű munkaszervezési és pénzügyi körülményeket teremthet. </w:t>
      </w:r>
    </w:p>
    <w:p w:rsidR="0087671C" w:rsidRPr="009E5CCD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084810" w:rsidRPr="009E5CCD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A VKSZN Kft. 432.450.000 Ft. jegyzett tőkével rendelkezik, egyedüli tulajdonosa Várpalota Város Önkormányzata. A VHG Kft. jegyzett tőkéje 3.000.000 Ft, tulajdonosai Várpalota Város Önkormányzata (60 %-ban) és a VKNSZ Kft. (40 %-ban), így mindkét társaság tényleges tulajdonos</w:t>
      </w:r>
      <w:r w:rsidR="00084810" w:rsidRPr="009E5CCD">
        <w:rPr>
          <w:rFonts w:ascii="Times New Roman" w:hAnsi="Times New Roman" w:cs="Times New Roman"/>
          <w:bCs/>
          <w:sz w:val="24"/>
          <w:szCs w:val="24"/>
          <w:lang w:eastAsia="hu-HU"/>
        </w:rPr>
        <w:t>a Várpalota Város Önkormányzata, amelynek képviselőtestülete a VHG Kft. esetében a közvetett egyszemélyes tulajdonos, a VKSZN Kft. esetében a közvetlen egyszemélyes tulajdonos képviseletében eljárva jogosult meghatározni az egyesülés feltételeit és ütemezését.</w:t>
      </w:r>
    </w:p>
    <w:p w:rsidR="00E15AC3" w:rsidRPr="009E5CCD" w:rsidRDefault="00E15AC3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D83" w:rsidRPr="009E5CCD" w:rsidRDefault="00B246FB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b/>
          <w:sz w:val="24"/>
          <w:szCs w:val="24"/>
        </w:rPr>
        <w:t>2./</w:t>
      </w:r>
      <w:r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4D83" w:rsidRPr="009E5CCD">
        <w:rPr>
          <w:rFonts w:ascii="Times New Roman" w:hAnsi="Times New Roman" w:cs="Times New Roman"/>
          <w:b/>
          <w:sz w:val="24"/>
          <w:szCs w:val="24"/>
          <w:u w:val="single"/>
        </w:rPr>
        <w:t>Az egyesülés</w:t>
      </w:r>
      <w:r w:rsidR="00234823"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(beolvadás)</w:t>
      </w:r>
      <w:r w:rsidR="00B84D83"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jog</w:t>
      </w:r>
      <w:r w:rsidR="00084810" w:rsidRPr="009E5CCD">
        <w:rPr>
          <w:rFonts w:ascii="Times New Roman" w:hAnsi="Times New Roman" w:cs="Times New Roman"/>
          <w:b/>
          <w:sz w:val="24"/>
          <w:szCs w:val="24"/>
          <w:u w:val="single"/>
        </w:rPr>
        <w:t>szabály</w:t>
      </w:r>
      <w:r w:rsidR="00B84D83" w:rsidRPr="009E5CCD">
        <w:rPr>
          <w:rFonts w:ascii="Times New Roman" w:hAnsi="Times New Roman" w:cs="Times New Roman"/>
          <w:b/>
          <w:sz w:val="24"/>
          <w:szCs w:val="24"/>
          <w:u w:val="single"/>
        </w:rPr>
        <w:t>i keretei</w:t>
      </w:r>
      <w:r w:rsidR="00B84D83" w:rsidRPr="009E5CCD">
        <w:rPr>
          <w:rFonts w:ascii="Times New Roman" w:hAnsi="Times New Roman" w:cs="Times New Roman"/>
          <w:sz w:val="24"/>
          <w:szCs w:val="24"/>
        </w:rPr>
        <w:t>:</w:t>
      </w:r>
    </w:p>
    <w:p w:rsidR="00B84D83" w:rsidRPr="009E5CCD" w:rsidRDefault="00B84D83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823" w:rsidRPr="009E5CCD" w:rsidRDefault="00B84D83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 xml:space="preserve">A polgári törvénykönyvről szóló 2013. évi V. törvény (Ptk.) 3:44. §-a szerint jogi személy más jogi személyekkel </w:t>
      </w:r>
      <w:r w:rsidR="00A77308" w:rsidRPr="009E5CCD">
        <w:rPr>
          <w:rFonts w:ascii="Times New Roman" w:hAnsi="Times New Roman" w:cs="Times New Roman"/>
          <w:sz w:val="24"/>
          <w:szCs w:val="24"/>
        </w:rPr>
        <w:t xml:space="preserve">beolvadás útján egyesülhet. </w:t>
      </w:r>
      <w:r w:rsidR="004B408E" w:rsidRPr="009E5CCD">
        <w:rPr>
          <w:rFonts w:ascii="Times New Roman" w:hAnsi="Times New Roman" w:cs="Times New Roman"/>
          <w:sz w:val="24"/>
          <w:szCs w:val="24"/>
        </w:rPr>
        <w:t xml:space="preserve">A Ptk. 3:136. §-a kimondja, hogy gazdasági társaság más gazdasági társasággal, valamint szövetkezettel és egyesüléssel egyesülhet. </w:t>
      </w:r>
      <w:r w:rsidR="00A77308" w:rsidRPr="009E5CCD">
        <w:rPr>
          <w:rFonts w:ascii="Times New Roman" w:hAnsi="Times New Roman" w:cs="Times New Roman"/>
          <w:sz w:val="24"/>
          <w:szCs w:val="24"/>
        </w:rPr>
        <w:t xml:space="preserve">Ebben az esetben a beolvadó jogi személy megszűnik, általános jogutódja az egyesülésben részt vevő másik jogi személy. Ha az egyesülésben részt vevő jogi személyek mindegyike határoz az </w:t>
      </w:r>
      <w:r w:rsidR="00A77308" w:rsidRPr="009E5CCD">
        <w:rPr>
          <w:rFonts w:ascii="Times New Roman" w:hAnsi="Times New Roman" w:cs="Times New Roman"/>
          <w:sz w:val="24"/>
          <w:szCs w:val="24"/>
        </w:rPr>
        <w:lastRenderedPageBreak/>
        <w:t>egyesülés kezdeményezéséről, az ügyvezetéseik kötelesek közös egyesülési tervet készíteni, amelynek tartalmaznia kell valamennyi jogi személy vagyonmérleg-tervezetét, valamint az egyesüléssel létrejövő jogi személy nyitó vagyonmérleg-tervezetét.</w:t>
      </w:r>
      <w:r w:rsidR="004B408E" w:rsidRPr="009E5CCD">
        <w:rPr>
          <w:rFonts w:ascii="Times New Roman" w:hAnsi="Times New Roman" w:cs="Times New Roman"/>
          <w:sz w:val="24"/>
          <w:szCs w:val="24"/>
        </w:rPr>
        <w:t xml:space="preserve"> </w:t>
      </w:r>
      <w:r w:rsidR="00A77308" w:rsidRPr="009E5CCD">
        <w:rPr>
          <w:rFonts w:ascii="Times New Roman" w:hAnsi="Times New Roman" w:cs="Times New Roman"/>
          <w:sz w:val="24"/>
          <w:szCs w:val="24"/>
        </w:rPr>
        <w:t xml:space="preserve">Az egyesülésben részt vevő jogi személyek az egyesülési terv elfogadásáról külön-külön döntenek, azt akkor kell elfogadottnak tekinteni, ha az egyesülésben részt vevő valamennyi jogi személy elfogadta. </w:t>
      </w:r>
    </w:p>
    <w:p w:rsidR="004B408E" w:rsidRPr="009E5CCD" w:rsidRDefault="004B408E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823" w:rsidRPr="009E5CCD" w:rsidRDefault="00234823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 xml:space="preserve">A VHG Kft-nek a VKSZN Kft-be beolvadással történő egyesülésének jogszabályi feltételei a fentiek szerint adottak, az egyesüléssel kapcsolatos döntéseket pedig elsősorban Várpalota Város Önkormányzata Képviselőtestülete, majd ennek megfelelően a VHG Kft. taggyűlése taggyűlési határozattal, illetve a VKSZN Kft. alapítójának képviseletében a Polgármester alapítói határozattal hozza meg. </w:t>
      </w:r>
    </w:p>
    <w:p w:rsidR="00B84D83" w:rsidRPr="009E5CCD" w:rsidRDefault="00B84D83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515" w:rsidRPr="009E5CCD" w:rsidRDefault="00B246FB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b/>
          <w:sz w:val="24"/>
          <w:szCs w:val="24"/>
        </w:rPr>
        <w:t>3./</w:t>
      </w:r>
      <w:r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4D83"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Az </w:t>
      </w:r>
      <w:r w:rsidR="00084810" w:rsidRPr="009E5CCD">
        <w:rPr>
          <w:rFonts w:ascii="Times New Roman" w:hAnsi="Times New Roman" w:cs="Times New Roman"/>
          <w:b/>
          <w:sz w:val="24"/>
          <w:szCs w:val="24"/>
          <w:u w:val="single"/>
        </w:rPr>
        <w:t>egyesülésről</w:t>
      </w:r>
      <w:r w:rsidR="00B84D83"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szóló döntések meghozatala</w:t>
      </w:r>
      <w:r w:rsidR="00B84D83" w:rsidRPr="009E5CCD">
        <w:rPr>
          <w:rFonts w:ascii="Times New Roman" w:hAnsi="Times New Roman" w:cs="Times New Roman"/>
          <w:sz w:val="24"/>
          <w:szCs w:val="24"/>
        </w:rPr>
        <w:t>:</w:t>
      </w:r>
    </w:p>
    <w:p w:rsidR="00B84D83" w:rsidRPr="009E5CCD" w:rsidRDefault="00B84D83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823" w:rsidRPr="009E5CCD" w:rsidRDefault="00A77308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>Az egyes jogi személyek átalakulásáról, egyesüléséről, szétválásáról szóló 2013. évi CLXXVI. törvény (</w:t>
      </w:r>
      <w:proofErr w:type="spellStart"/>
      <w:r w:rsidRPr="009E5CCD">
        <w:rPr>
          <w:rFonts w:ascii="Times New Roman" w:hAnsi="Times New Roman" w:cs="Times New Roman"/>
          <w:sz w:val="24"/>
          <w:szCs w:val="24"/>
        </w:rPr>
        <w:t>Áttv</w:t>
      </w:r>
      <w:proofErr w:type="spellEnd"/>
      <w:r w:rsidRPr="009E5CCD">
        <w:rPr>
          <w:rFonts w:ascii="Times New Roman" w:hAnsi="Times New Roman" w:cs="Times New Roman"/>
          <w:sz w:val="24"/>
          <w:szCs w:val="24"/>
        </w:rPr>
        <w:t>.)</w:t>
      </w:r>
      <w:r w:rsidR="00E13C3B" w:rsidRPr="009E5CCD">
        <w:rPr>
          <w:rFonts w:ascii="Times New Roman" w:hAnsi="Times New Roman" w:cs="Times New Roman"/>
          <w:sz w:val="24"/>
          <w:szCs w:val="24"/>
        </w:rPr>
        <w:t xml:space="preserve"> 2. §-a szerint az </w:t>
      </w:r>
      <w:r w:rsidR="00234823" w:rsidRPr="009E5CCD">
        <w:rPr>
          <w:rFonts w:ascii="Times New Roman" w:hAnsi="Times New Roman" w:cs="Times New Roman"/>
          <w:sz w:val="24"/>
          <w:szCs w:val="24"/>
        </w:rPr>
        <w:t>egyesülésben résztvevő társaság döntés</w:t>
      </w:r>
      <w:r w:rsidR="00E13C3B" w:rsidRPr="009E5CCD">
        <w:rPr>
          <w:rFonts w:ascii="Times New Roman" w:hAnsi="Times New Roman" w:cs="Times New Roman"/>
          <w:sz w:val="24"/>
          <w:szCs w:val="24"/>
        </w:rPr>
        <w:t xml:space="preserve">hozó szerve az egyesülésről két alkalommal határoz. Első ízben az ügyvezetésnek a </w:t>
      </w:r>
      <w:r w:rsidR="00D229DD" w:rsidRPr="009E5CCD">
        <w:rPr>
          <w:rFonts w:ascii="Times New Roman" w:hAnsi="Times New Roman" w:cs="Times New Roman"/>
          <w:sz w:val="24"/>
          <w:szCs w:val="24"/>
        </w:rPr>
        <w:t>F</w:t>
      </w:r>
      <w:r w:rsidR="00E13C3B" w:rsidRPr="009E5CCD">
        <w:rPr>
          <w:rFonts w:ascii="Times New Roman" w:hAnsi="Times New Roman" w:cs="Times New Roman"/>
          <w:sz w:val="24"/>
          <w:szCs w:val="24"/>
        </w:rPr>
        <w:t>elügyelő bizottság által véleményezett előterjesztése alapján azt állapítja meg, hogy a tagok egyetértenek-e az egyesülés szándékával, továbbá dönt arról, hogy a társaság az egyesülés után milyen formában működjön tovább</w:t>
      </w:r>
      <w:r w:rsidR="00B302C7" w:rsidRPr="009E5CCD">
        <w:rPr>
          <w:rFonts w:ascii="Times New Roman" w:hAnsi="Times New Roman" w:cs="Times New Roman"/>
          <w:sz w:val="24"/>
          <w:szCs w:val="24"/>
        </w:rPr>
        <w:t xml:space="preserve"> és előzetesen felméri, hogy a tagok közül ki és mekkora vagyoni hozzájárulással kíván a jogutód társaság tagjává válni. H</w:t>
      </w:r>
      <w:r w:rsidR="00D229DD" w:rsidRPr="009E5CCD">
        <w:rPr>
          <w:rFonts w:ascii="Times New Roman" w:hAnsi="Times New Roman" w:cs="Times New Roman"/>
          <w:sz w:val="24"/>
          <w:szCs w:val="24"/>
        </w:rPr>
        <w:t>a</w:t>
      </w:r>
      <w:r w:rsidR="00B302C7" w:rsidRPr="009E5CCD">
        <w:rPr>
          <w:rFonts w:ascii="Times New Roman" w:hAnsi="Times New Roman" w:cs="Times New Roman"/>
          <w:sz w:val="24"/>
          <w:szCs w:val="24"/>
        </w:rPr>
        <w:t xml:space="preserve"> a tagok az átalakulás szándékával egyetértenek, a döntéshozó szerv meghatározza a vagyonmérleg-tervezetek fordulónapját, dönt a könyvvizsgáló személyéről és megbízza az ügyvezetést az egyesülési terv és a szükséges egyéb dokumentumok elkészítésével.</w:t>
      </w:r>
    </w:p>
    <w:p w:rsidR="00B302C7" w:rsidRPr="009E5CCD" w:rsidRDefault="00B302C7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2C7" w:rsidRPr="009E5CCD" w:rsidRDefault="00B302C7" w:rsidP="00F9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E5CCD">
        <w:rPr>
          <w:rFonts w:ascii="Times New Roman" w:hAnsi="Times New Roman" w:cs="Times New Roman"/>
          <w:sz w:val="24"/>
          <w:szCs w:val="24"/>
        </w:rPr>
        <w:t>Áttv</w:t>
      </w:r>
      <w:proofErr w:type="spellEnd"/>
      <w:r w:rsidRPr="009E5CCD">
        <w:rPr>
          <w:rFonts w:ascii="Times New Roman" w:hAnsi="Times New Roman" w:cs="Times New Roman"/>
          <w:sz w:val="24"/>
          <w:szCs w:val="24"/>
        </w:rPr>
        <w:t xml:space="preserve">. 14. §-a előírja, hogy az egyesüléssel kapcsolatban </w:t>
      </w:r>
      <w:r w:rsidRPr="009E5CCD">
        <w:rPr>
          <w:rFonts w:ascii="Times New Roman" w:hAnsi="Times New Roman" w:cs="Times New Roman"/>
          <w:sz w:val="24"/>
          <w:szCs w:val="24"/>
          <w:u w:val="single"/>
        </w:rPr>
        <w:t>egyesülési tervet</w:t>
      </w:r>
      <w:r w:rsidRPr="009E5CCD">
        <w:rPr>
          <w:rFonts w:ascii="Times New Roman" w:hAnsi="Times New Roman" w:cs="Times New Roman"/>
          <w:sz w:val="24"/>
          <w:szCs w:val="24"/>
        </w:rPr>
        <w:t xml:space="preserve"> kell készíteni, amelynek része az </w:t>
      </w:r>
      <w:r w:rsidRPr="009E5CCD">
        <w:rPr>
          <w:rFonts w:ascii="Times New Roman" w:hAnsi="Times New Roman" w:cs="Times New Roman"/>
          <w:sz w:val="24"/>
          <w:szCs w:val="24"/>
          <w:u w:val="single"/>
        </w:rPr>
        <w:t>egyesülési szerződés</w:t>
      </w:r>
      <w:r w:rsidRPr="009E5CCD">
        <w:rPr>
          <w:rFonts w:ascii="Times New Roman" w:hAnsi="Times New Roman" w:cs="Times New Roman"/>
          <w:sz w:val="24"/>
          <w:szCs w:val="24"/>
        </w:rPr>
        <w:t xml:space="preserve"> is. </w:t>
      </w:r>
      <w:r w:rsidR="00595B18" w:rsidRPr="009E5CCD">
        <w:rPr>
          <w:rFonts w:ascii="Times New Roman" w:hAnsi="Times New Roman" w:cs="Times New Roman"/>
          <w:sz w:val="24"/>
          <w:szCs w:val="24"/>
        </w:rPr>
        <w:t xml:space="preserve">Az egyesülési szerződésben rögzíteni kell a jogutód típusát és formáját is, de beolvadás esetében az átvevő társaság típusa, gazdasági társaság esetén a formája változatlan marad. </w:t>
      </w:r>
      <w:r w:rsidR="00234823" w:rsidRPr="009E5CCD">
        <w:rPr>
          <w:rFonts w:ascii="Times New Roman" w:hAnsi="Times New Roman" w:cs="Times New Roman"/>
          <w:sz w:val="24"/>
          <w:szCs w:val="24"/>
        </w:rPr>
        <w:t xml:space="preserve">Beolvadás esetén az egyesülési szerződésben meg kell határozni az átvevő társaság létesítő okiratában szükséges módosítások tervezetét, ami azt jelenti, hogy el kell készíteni a VKSZN Kft. hatályos </w:t>
      </w:r>
      <w:r w:rsidR="00234823" w:rsidRPr="009E5CCD">
        <w:rPr>
          <w:rFonts w:ascii="Times New Roman" w:hAnsi="Times New Roman" w:cs="Times New Roman"/>
          <w:sz w:val="24"/>
          <w:szCs w:val="24"/>
          <w:u w:val="single"/>
        </w:rPr>
        <w:t>alapító okiratának módosítását</w:t>
      </w:r>
      <w:r w:rsidR="00234823" w:rsidRPr="009E5CCD">
        <w:rPr>
          <w:rFonts w:ascii="Times New Roman" w:hAnsi="Times New Roman" w:cs="Times New Roman"/>
          <w:sz w:val="24"/>
          <w:szCs w:val="24"/>
        </w:rPr>
        <w:t xml:space="preserve">, valamint a módosításokkal </w:t>
      </w:r>
      <w:r w:rsidR="00234823" w:rsidRPr="009E5CCD">
        <w:rPr>
          <w:rFonts w:ascii="Times New Roman" w:hAnsi="Times New Roman" w:cs="Times New Roman"/>
          <w:sz w:val="24"/>
          <w:szCs w:val="24"/>
          <w:u w:val="single"/>
        </w:rPr>
        <w:t>egységes szerkezetbe foglalt</w:t>
      </w:r>
      <w:r w:rsidR="0095377E" w:rsidRPr="009E5CCD">
        <w:rPr>
          <w:rFonts w:ascii="Times New Roman" w:hAnsi="Times New Roman" w:cs="Times New Roman"/>
          <w:sz w:val="24"/>
          <w:szCs w:val="24"/>
          <w:u w:val="single"/>
        </w:rPr>
        <w:t xml:space="preserve"> alapító okiratot</w:t>
      </w:r>
      <w:r w:rsidR="0095377E" w:rsidRPr="009E5CCD">
        <w:rPr>
          <w:rFonts w:ascii="Times New Roman" w:hAnsi="Times New Roman" w:cs="Times New Roman"/>
          <w:sz w:val="24"/>
          <w:szCs w:val="24"/>
        </w:rPr>
        <w:t>, amelyet az alapító képviselőjeként a Polgármester ír alá.</w:t>
      </w:r>
      <w:r w:rsidR="00234823" w:rsidRPr="009E5CCD">
        <w:rPr>
          <w:rFonts w:ascii="Times New Roman" w:hAnsi="Times New Roman" w:cs="Times New Roman"/>
          <w:sz w:val="24"/>
          <w:szCs w:val="24"/>
        </w:rPr>
        <w:t xml:space="preserve"> </w:t>
      </w:r>
      <w:r w:rsidR="0095377E" w:rsidRPr="009E5CCD">
        <w:rPr>
          <w:rFonts w:ascii="Times New Roman" w:hAnsi="Times New Roman" w:cs="Times New Roman"/>
          <w:sz w:val="24"/>
          <w:szCs w:val="24"/>
        </w:rPr>
        <w:t xml:space="preserve">Az egyesülési terv része a beolvadást követő állapotot rögzítő </w:t>
      </w:r>
      <w:r w:rsidR="0095377E" w:rsidRPr="009E5CCD">
        <w:rPr>
          <w:rFonts w:ascii="Times New Roman" w:hAnsi="Times New Roman" w:cs="Times New Roman"/>
          <w:sz w:val="24"/>
          <w:szCs w:val="24"/>
          <w:u w:val="single"/>
        </w:rPr>
        <w:t>tagjegyzék</w:t>
      </w:r>
      <w:r w:rsidR="0095377E" w:rsidRPr="009E5CCD">
        <w:rPr>
          <w:rFonts w:ascii="Times New Roman" w:hAnsi="Times New Roman" w:cs="Times New Roman"/>
          <w:sz w:val="24"/>
          <w:szCs w:val="24"/>
        </w:rPr>
        <w:t xml:space="preserve"> is. Az egyesülési tervben megjelölhető az az időpont is, amikor az egyesüléshez fűződő joghatások beállnak, viszont ez nem lehet korábbi, mint a jogutód nyilvántartásba vételének napja. A </w:t>
      </w:r>
      <w:r w:rsidR="0095377E" w:rsidRPr="009E5CCD">
        <w:rPr>
          <w:rFonts w:ascii="Times New Roman" w:hAnsi="Times New Roman" w:cs="Times New Roman"/>
          <w:sz w:val="24"/>
          <w:szCs w:val="24"/>
          <w:u w:val="single"/>
        </w:rPr>
        <w:t>beolvadás időpontjaként</w:t>
      </w:r>
      <w:r w:rsidR="0095377E" w:rsidRPr="009E5CCD">
        <w:rPr>
          <w:rFonts w:ascii="Times New Roman" w:hAnsi="Times New Roman" w:cs="Times New Roman"/>
          <w:sz w:val="24"/>
          <w:szCs w:val="24"/>
        </w:rPr>
        <w:t xml:space="preserve"> – figyelembe véve az előkészítés, a döntéshozatal, a közlemény megjelenése és a hitelezői moratórium ütemezését – célszerű 2019. június 30. napját meghatároz</w:t>
      </w:r>
      <w:r w:rsidR="00E94B1D" w:rsidRPr="009E5CCD">
        <w:rPr>
          <w:rFonts w:ascii="Times New Roman" w:hAnsi="Times New Roman" w:cs="Times New Roman"/>
          <w:sz w:val="24"/>
          <w:szCs w:val="24"/>
        </w:rPr>
        <w:t>ni.</w:t>
      </w:r>
      <w:r w:rsidR="0095377E" w:rsidRPr="009E5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C7" w:rsidRPr="009E5CCD" w:rsidRDefault="00B302C7" w:rsidP="00F9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2C7" w:rsidRPr="009E5CCD" w:rsidRDefault="00B302C7" w:rsidP="00F9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E5CCD">
        <w:rPr>
          <w:rFonts w:ascii="Times New Roman" w:hAnsi="Times New Roman" w:cs="Times New Roman"/>
          <w:sz w:val="24"/>
          <w:szCs w:val="24"/>
        </w:rPr>
        <w:t>Áttv</w:t>
      </w:r>
      <w:proofErr w:type="spellEnd"/>
      <w:r w:rsidRPr="009E5CCD">
        <w:rPr>
          <w:rFonts w:ascii="Times New Roman" w:hAnsi="Times New Roman" w:cs="Times New Roman"/>
          <w:sz w:val="24"/>
          <w:szCs w:val="24"/>
        </w:rPr>
        <w:t xml:space="preserve">. 6. §-a szerint az egyesülési terv és mellékletei elfogadásáról a döntéshozó szerv az egyesülésről véglegesen döntő ülésén határoz, amikor meghatározhatja </w:t>
      </w:r>
      <w:r w:rsidR="00E94B1D" w:rsidRPr="009E5CCD">
        <w:rPr>
          <w:rFonts w:ascii="Times New Roman" w:hAnsi="Times New Roman" w:cs="Times New Roman"/>
          <w:sz w:val="24"/>
          <w:szCs w:val="24"/>
        </w:rPr>
        <w:t>a beolvadás időpontját is</w:t>
      </w:r>
      <w:r w:rsidRPr="009E5CCD">
        <w:rPr>
          <w:rFonts w:ascii="Times New Roman" w:hAnsi="Times New Roman" w:cs="Times New Roman"/>
          <w:sz w:val="24"/>
          <w:szCs w:val="24"/>
        </w:rPr>
        <w:t>. A döntéshozó szerv továbbá dönt az egyesülésről, valamint a jogutód társaság tagjai aláírják a jogutód létesítő okiratát.</w:t>
      </w:r>
      <w:r w:rsidR="00F91F81" w:rsidRPr="009E5CCD">
        <w:rPr>
          <w:rFonts w:ascii="Times New Roman" w:hAnsi="Times New Roman" w:cs="Times New Roman"/>
          <w:sz w:val="24"/>
          <w:szCs w:val="24"/>
        </w:rPr>
        <w:t xml:space="preserve"> Az egyesülési tervet az egyesülésben résztvevő társaságok vezető tisztségviselői írják alá.</w:t>
      </w:r>
    </w:p>
    <w:p w:rsidR="00E94B1D" w:rsidRPr="009E5CCD" w:rsidRDefault="00E94B1D" w:rsidP="00F9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1D" w:rsidRPr="009E5CCD" w:rsidRDefault="00E94B1D" w:rsidP="00F9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E5CCD">
        <w:rPr>
          <w:rFonts w:ascii="Times New Roman" w:hAnsi="Times New Roman" w:cs="Times New Roman"/>
          <w:sz w:val="24"/>
          <w:szCs w:val="24"/>
        </w:rPr>
        <w:t>Áttv</w:t>
      </w:r>
      <w:proofErr w:type="spellEnd"/>
      <w:r w:rsidRPr="009E5CCD">
        <w:rPr>
          <w:rFonts w:ascii="Times New Roman" w:hAnsi="Times New Roman" w:cs="Times New Roman"/>
          <w:sz w:val="24"/>
          <w:szCs w:val="24"/>
        </w:rPr>
        <w:t xml:space="preserve">. 8. § (1) bekezdése szerint a tagok úgy is dönthetnek, hogy az egyesülési javaslat érdemi elbírálásáról egy ülésen határoznak, amennyiben a vezető tisztségviselők az egyesüléshez szükséges okiratokat megfelelően előkészítik. Ebben az esetben az ülésre el kell készíteni az egyesülési tervet, amelyben a könyvvizsgáló által ellenőrzött vagyonmérleg- és vagyonleltár-tervezet szerepelhet. </w:t>
      </w:r>
      <w:r w:rsidR="00674F61" w:rsidRPr="009E5CCD">
        <w:rPr>
          <w:rFonts w:ascii="Times New Roman" w:hAnsi="Times New Roman" w:cs="Times New Roman"/>
          <w:sz w:val="24"/>
          <w:szCs w:val="24"/>
        </w:rPr>
        <w:t xml:space="preserve">A jelen egyesülés során a tervek szerint a tulajdonosi Képviselőtestület </w:t>
      </w:r>
      <w:r w:rsidR="00674F61" w:rsidRPr="009E5CCD">
        <w:rPr>
          <w:rFonts w:ascii="Times New Roman" w:hAnsi="Times New Roman" w:cs="Times New Roman"/>
          <w:sz w:val="24"/>
          <w:szCs w:val="24"/>
        </w:rPr>
        <w:lastRenderedPageBreak/>
        <w:t>2019. április végén megtartott ülésén, egy ülésen határoz az egyesülési javaslatról, majd ezt követően a Képviselőtestülettől kapott felhatalmazások szerint a VHG Kft. taggyűlése hozza meg a szükséges határozatokat, illetve a VKSZN Kft. alapítójának képviselője az alapítói határozatot.</w:t>
      </w:r>
    </w:p>
    <w:p w:rsidR="00E13C3B" w:rsidRPr="009E5CCD" w:rsidRDefault="00E13C3B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0B" w:rsidRPr="009E5CCD" w:rsidRDefault="00B9100B" w:rsidP="00EF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CCD">
        <w:rPr>
          <w:rFonts w:ascii="Times New Roman" w:hAnsi="Times New Roman" w:cs="Times New Roman"/>
          <w:b/>
          <w:sz w:val="24"/>
          <w:szCs w:val="24"/>
        </w:rPr>
        <w:t>4./</w:t>
      </w:r>
      <w:r w:rsidRPr="009E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Vagyonmérleg-tervezetek</w:t>
      </w:r>
      <w:r w:rsidRPr="009E5CCD">
        <w:rPr>
          <w:rFonts w:ascii="Times New Roman" w:hAnsi="Times New Roman" w:cs="Times New Roman"/>
          <w:b/>
          <w:sz w:val="24"/>
          <w:szCs w:val="24"/>
        </w:rPr>
        <w:t>:</w:t>
      </w: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>Az egyesülési terv magában foglalja a VHG Kft, mint beolvadó társaság és a VKSZN Kft, mint átvevő társaság vagyonmérleg-tervezetét és az azt alátámasztó vagyonleltár-tervezetét, valamint a VKSZN Kft, mint átvevő társaság nyitó vagyonmérleg-tervezetét.</w:t>
      </w: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 xml:space="preserve">Az egyesülésben résztvevő társaságok vagyonmérleg-tervezeteként a számviteli törvény szerinti beszámoló mérlege elfogadható, mert azok 2018. december 31-ei fordulónapjától a beolvadásról szóló végleges döntés tervezett 2019. április 26-ai időpontjáig hat hónap nem telik el. </w:t>
      </w: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>Az Átvevő Társaságban tagként részt venni nem kívánó tagokkal való elszámolás módjáról tervezetet ebben az esetben készíteni nem kellett, mert ilyen tag ebben az egyesülésben nem vesz részt.</w:t>
      </w: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 xml:space="preserve">Várpalota Város Önkormányzata, mint meglévő tagot pótlólagosan teljesítendő vagyoni hozzájárulás nem terheli,  </w:t>
      </w: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>A vagyonmérleg-tervezeteket a számviteli törvény szerinti beszámoló mérlegére vonatkozó módszerekkel és a törvény szerinti bontásban kell elkészíteni. Az egyesülésben résztvevő társaságok a számviteli törvény szerinti beszámoló mérlegében kimutatott eszközöket és kötelezettségeket nem értékelik át. Az egyesüléssel létrejövő VKSZN Kft. vagyonmérleg-tervezete az egyesülésben résztvevő társaságok vagyonmérleg-tervezetétől eltér.</w:t>
      </w: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>A beolvadással érintett társaságok vagyonának értékét, a saját tőke összegét a könyvvizsgáló által elfogadottnál magasabb értékben nem határozzuk meg.</w:t>
      </w:r>
    </w:p>
    <w:p w:rsid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 xml:space="preserve"> </w:t>
      </w:r>
    </w:p>
    <w:p w:rsidR="009E5CCD" w:rsidRDefault="009E5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46FB" w:rsidRPr="009E5CCD" w:rsidRDefault="00B246FB" w:rsidP="00B246FB">
      <w:pPr>
        <w:pStyle w:val="Cmsor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9E5CCD">
        <w:rPr>
          <w:rFonts w:ascii="Times New Roman" w:hAnsi="Times New Roman" w:cs="Times New Roman"/>
          <w:b/>
          <w:i w:val="0"/>
          <w:color w:val="000000" w:themeColor="text1"/>
        </w:rPr>
        <w:t>MÉRLEG „A” változat</w:t>
      </w:r>
    </w:p>
    <w:p w:rsidR="00B246FB" w:rsidRPr="009E5CCD" w:rsidRDefault="00B246FB" w:rsidP="00B246FB">
      <w:pPr>
        <w:pStyle w:val="Cmsor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9E5CCD">
        <w:rPr>
          <w:rFonts w:ascii="Times New Roman" w:hAnsi="Times New Roman" w:cs="Times New Roman"/>
          <w:b/>
          <w:i w:val="0"/>
          <w:color w:val="000000" w:themeColor="text1"/>
        </w:rPr>
        <w:t>Eszközök (aktívák</w:t>
      </w:r>
      <w:r w:rsidRPr="009E5CCD">
        <w:rPr>
          <w:rFonts w:ascii="Times New Roman" w:hAnsi="Times New Roman" w:cs="Times New Roman"/>
          <w:b/>
          <w:color w:val="000000" w:themeColor="text1"/>
        </w:rPr>
        <w:t>)</w:t>
      </w:r>
    </w:p>
    <w:p w:rsidR="00B246FB" w:rsidRPr="009E5CCD" w:rsidRDefault="00B246FB" w:rsidP="00B246FB">
      <w:pPr>
        <w:spacing w:after="0" w:line="240" w:lineRule="auto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ab/>
      </w:r>
      <w:r w:rsidRPr="009E5CCD">
        <w:rPr>
          <w:rFonts w:ascii="Times New Roman" w:hAnsi="Times New Roman" w:cs="Times New Roman"/>
        </w:rPr>
        <w:tab/>
      </w:r>
      <w:r w:rsidRPr="009E5CCD">
        <w:rPr>
          <w:rFonts w:ascii="Times New Roman" w:hAnsi="Times New Roman" w:cs="Times New Roman"/>
        </w:rPr>
        <w:tab/>
      </w:r>
      <w:r w:rsidRPr="009E5CCD">
        <w:rPr>
          <w:rFonts w:ascii="Times New Roman" w:hAnsi="Times New Roman" w:cs="Times New Roman"/>
        </w:rPr>
        <w:tab/>
      </w:r>
      <w:r w:rsidRPr="009E5CCD">
        <w:rPr>
          <w:rFonts w:ascii="Times New Roman" w:hAnsi="Times New Roman" w:cs="Times New Roman"/>
        </w:rPr>
        <w:tab/>
      </w:r>
      <w:r w:rsidRPr="009E5CCD">
        <w:rPr>
          <w:rFonts w:ascii="Times New Roman" w:hAnsi="Times New Roman" w:cs="Times New Roman"/>
        </w:rPr>
        <w:tab/>
      </w:r>
      <w:r w:rsidRPr="009E5CCD">
        <w:rPr>
          <w:rFonts w:ascii="Times New Roman" w:hAnsi="Times New Roman" w:cs="Times New Roman"/>
        </w:rPr>
        <w:tab/>
        <w:t xml:space="preserve">  </w:t>
      </w:r>
      <w:r w:rsidRPr="009E5CCD">
        <w:rPr>
          <w:rFonts w:ascii="Times New Roman" w:hAnsi="Times New Roman" w:cs="Times New Roman"/>
        </w:rPr>
        <w:tab/>
      </w:r>
      <w:r w:rsidRPr="009E5CCD">
        <w:rPr>
          <w:rFonts w:ascii="Times New Roman" w:hAnsi="Times New Roman" w:cs="Times New Roman"/>
        </w:rPr>
        <w:tab/>
      </w:r>
      <w:r w:rsidRPr="009E5CCD">
        <w:rPr>
          <w:rFonts w:ascii="Times New Roman" w:hAnsi="Times New Roman" w:cs="Times New Roman"/>
        </w:rPr>
        <w:tab/>
        <w:t xml:space="preserve">            adatok </w:t>
      </w:r>
      <w:proofErr w:type="spellStart"/>
      <w:r w:rsidRPr="009E5CCD">
        <w:rPr>
          <w:rFonts w:ascii="Times New Roman" w:hAnsi="Times New Roman" w:cs="Times New Roman"/>
        </w:rPr>
        <w:t>EFt</w:t>
      </w:r>
      <w:proofErr w:type="spellEnd"/>
      <w:r w:rsidRPr="009E5CCD">
        <w:rPr>
          <w:rFonts w:ascii="Times New Roman" w:hAnsi="Times New Roman" w:cs="Times New Roman"/>
        </w:rPr>
        <w:t>-ban</w:t>
      </w:r>
    </w:p>
    <w:tbl>
      <w:tblPr>
        <w:tblW w:w="102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164"/>
        <w:gridCol w:w="1355"/>
        <w:gridCol w:w="1275"/>
        <w:gridCol w:w="1134"/>
        <w:gridCol w:w="1631"/>
      </w:tblGrid>
      <w:tr w:rsidR="00B246FB" w:rsidRPr="009E5CCD" w:rsidTr="00B9281B">
        <w:trPr>
          <w:trHeight w:hRule="exact" w:val="776"/>
          <w:jc w:val="center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Sor-</w:t>
            </w: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Szám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8"/>
              </w:rPr>
            </w:pPr>
            <w:r w:rsidRPr="009E5CCD">
              <w:rPr>
                <w:sz w:val="18"/>
              </w:rPr>
              <w:t>A tétel megnevezése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6"/>
                <w:szCs w:val="16"/>
              </w:rPr>
            </w:pPr>
            <w:r w:rsidRPr="009E5CCD">
              <w:rPr>
                <w:sz w:val="16"/>
                <w:szCs w:val="16"/>
              </w:rPr>
              <w:t>Könyv szerinti érték Várpalotai Közszolgáltató Nonprofit Kft.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b/>
                <w:sz w:val="16"/>
                <w:szCs w:val="16"/>
              </w:rPr>
              <w:t>Átalakulással megszűnő Gazdasági Társaság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5CCD">
              <w:rPr>
                <w:rFonts w:ascii="Times New Roman" w:hAnsi="Times New Roman" w:cs="Times New Roman"/>
                <w:b/>
                <w:sz w:val="14"/>
                <w:szCs w:val="14"/>
              </w:rPr>
              <w:t>Különbözetek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2"/>
                <w:szCs w:val="12"/>
              </w:rPr>
            </w:pPr>
            <w:r w:rsidRPr="009E5CCD">
              <w:rPr>
                <w:sz w:val="12"/>
                <w:szCs w:val="12"/>
              </w:rPr>
              <w:t>Vagyonértékelés szerinti érték Várpalotai Közszolgáltató Nonprofit Kft.</w:t>
            </w:r>
          </w:p>
        </w:tc>
      </w:tr>
      <w:tr w:rsidR="00B246FB" w:rsidRPr="009E5CCD" w:rsidTr="00B9281B">
        <w:trPr>
          <w:trHeight w:val="117"/>
          <w:jc w:val="center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b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g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01.</w:t>
            </w:r>
          </w:p>
        </w:tc>
        <w:tc>
          <w:tcPr>
            <w:tcW w:w="4164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 xml:space="preserve">A.   </w:t>
            </w:r>
            <w:r w:rsidRPr="009E5CCD">
              <w:rPr>
                <w:rFonts w:ascii="Times New Roman" w:hAnsi="Times New Roman" w:cs="Times New Roman"/>
                <w:b/>
                <w:sz w:val="20"/>
              </w:rPr>
              <w:t>Befektetett eszközök</w:t>
            </w:r>
            <w:r w:rsidRPr="009E5CCD">
              <w:rPr>
                <w:rFonts w:ascii="Times New Roman" w:hAnsi="Times New Roman" w:cs="Times New Roman"/>
                <w:b/>
                <w:sz w:val="18"/>
              </w:rPr>
              <w:t xml:space="preserve"> (02.+10.+18. sor)</w:t>
            </w:r>
          </w:p>
        </w:tc>
        <w:tc>
          <w:tcPr>
            <w:tcW w:w="1355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1 288 001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16 684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-14 363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1 290 322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02.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5CCD">
              <w:rPr>
                <w:rFonts w:ascii="Times New Roman" w:hAnsi="Times New Roman" w:cs="Times New Roman"/>
                <w:b/>
                <w:sz w:val="20"/>
              </w:rPr>
              <w:t>I. Immateriális javak (03.-09. sorok)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488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488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03.</w:t>
            </w:r>
          </w:p>
        </w:tc>
        <w:tc>
          <w:tcPr>
            <w:tcW w:w="41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ind w:left="355" w:hanging="355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Alapítás-átszervezés aktivált értéke 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488</w:t>
            </w:r>
          </w:p>
        </w:tc>
      </w:tr>
      <w:tr w:rsidR="00B246FB" w:rsidRPr="009E5CCD" w:rsidTr="00B9281B">
        <w:trPr>
          <w:trHeight w:hRule="exact" w:val="406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04.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Kísérleti fejlesztés aktivált értéke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lastRenderedPageBreak/>
              <w:t>05.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Vagyoni értékű jogok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19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06.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Szellemi termékek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07.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Üzleti vagy cégérték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08.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Immateriális javakra adott előlegek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09.</w:t>
            </w:r>
          </w:p>
        </w:tc>
        <w:tc>
          <w:tcPr>
            <w:tcW w:w="416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Immateriális javak értékhelyesbítése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10.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20"/>
              </w:rPr>
              <w:t>II. Tárgyi eszközök (11.-17. sorok)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1 266 615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16 684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1 283 299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11.</w:t>
            </w:r>
          </w:p>
        </w:tc>
        <w:tc>
          <w:tcPr>
            <w:tcW w:w="41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Ingatlanok és a kapcsolódó vagyoni értékű jogok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1 047 992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1 047 992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12.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Műszaki berendezések, gépek, járművek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171 741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16 684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188 425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13.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Egyéb berendezések, felszerelések, járművek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24 729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24 729</w:t>
            </w:r>
          </w:p>
        </w:tc>
      </w:tr>
      <w:tr w:rsidR="00B246FB" w:rsidRPr="009E5CCD" w:rsidTr="00B9281B">
        <w:trPr>
          <w:trHeight w:hRule="exact" w:val="325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14.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tabs>
                <w:tab w:val="left" w:pos="355"/>
              </w:tabs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Beruházások, felújítások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22 153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22 153</w:t>
            </w:r>
          </w:p>
        </w:tc>
      </w:tr>
      <w:tr w:rsidR="00B246FB" w:rsidRPr="009E5CCD" w:rsidTr="00B9281B">
        <w:trPr>
          <w:trHeight w:hRule="exact" w:val="330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16.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Beruházásokra adott előlegek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377"/>
          <w:jc w:val="center"/>
        </w:trPr>
        <w:tc>
          <w:tcPr>
            <w:tcW w:w="719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17.</w:t>
            </w:r>
          </w:p>
        </w:tc>
        <w:tc>
          <w:tcPr>
            <w:tcW w:w="416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Tárgyi eszközök értékhelyesbítése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534"/>
          <w:jc w:val="center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18.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20"/>
              </w:rPr>
              <w:t>III. Befektetett pénzügyi eszközök (19.-28. sorok)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20 898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-14 363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6 535</w:t>
            </w:r>
          </w:p>
        </w:tc>
      </w:tr>
      <w:tr w:rsidR="00B246FB" w:rsidRPr="009E5CCD" w:rsidTr="00B9281B">
        <w:trPr>
          <w:trHeight w:hRule="exact" w:val="385"/>
          <w:jc w:val="center"/>
        </w:trPr>
        <w:tc>
          <w:tcPr>
            <w:tcW w:w="719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19.</w:t>
            </w:r>
          </w:p>
        </w:tc>
        <w:tc>
          <w:tcPr>
            <w:tcW w:w="41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Tartós részesedés kapcsolt vállalkozásban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4 346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4 346</w:t>
            </w:r>
          </w:p>
        </w:tc>
      </w:tr>
      <w:tr w:rsidR="00B246FB" w:rsidRPr="009E5CCD" w:rsidTr="00B9281B">
        <w:trPr>
          <w:trHeight w:hRule="exact" w:val="371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20.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Tartósan adott kölcsön kapcsolt vállalkozásban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376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21.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Tartós jelentős tulajdoni részesedés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14 363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-14 363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383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22.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ind w:left="364"/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>Tartósan adott kölcsön jelentős tulajdoni részesedési                                     viszonyban álló vállalkozásban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389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23.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Egyéb tartós részesedés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24.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Tartósan adott kölcsön egyéb részesedési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viszonyban álló vállalkozásban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25.  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pStyle w:val="Cmsor2"/>
              <w:rPr>
                <w:b w:val="0"/>
                <w:sz w:val="18"/>
              </w:rPr>
            </w:pPr>
            <w:r w:rsidRPr="009E5CCD">
              <w:rPr>
                <w:b w:val="0"/>
                <w:sz w:val="18"/>
              </w:rPr>
              <w:t xml:space="preserve">       Egyéb tartósan adott kölcsön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2 189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2 189</w:t>
            </w:r>
          </w:p>
        </w:tc>
      </w:tr>
      <w:tr w:rsidR="00B246FB" w:rsidRPr="009E5CCD" w:rsidTr="00B9281B">
        <w:trPr>
          <w:trHeight w:hRule="exact" w:val="406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26.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pStyle w:val="Cmsor2"/>
              <w:rPr>
                <w:b w:val="0"/>
                <w:sz w:val="18"/>
              </w:rPr>
            </w:pPr>
            <w:r w:rsidRPr="009E5CCD">
              <w:rPr>
                <w:b w:val="0"/>
                <w:sz w:val="18"/>
              </w:rPr>
              <w:t xml:space="preserve">       Tartós hitelviszonyt megtestesítő értékpapír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366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27.</w:t>
            </w:r>
          </w:p>
        </w:tc>
        <w:tc>
          <w:tcPr>
            <w:tcW w:w="4164" w:type="dxa"/>
            <w:vAlign w:val="center"/>
          </w:tcPr>
          <w:p w:rsidR="00B246FB" w:rsidRPr="009E5CCD" w:rsidRDefault="00B246FB" w:rsidP="00B9281B">
            <w:pPr>
              <w:pStyle w:val="Cmsor2"/>
              <w:tabs>
                <w:tab w:val="left" w:pos="355"/>
              </w:tabs>
              <w:rPr>
                <w:b w:val="0"/>
                <w:sz w:val="18"/>
              </w:rPr>
            </w:pPr>
            <w:r w:rsidRPr="009E5CCD">
              <w:rPr>
                <w:b w:val="0"/>
                <w:sz w:val="18"/>
              </w:rPr>
              <w:t xml:space="preserve">       Befektetett pénzügyi eszközök értékhelyesbítése</w:t>
            </w:r>
          </w:p>
        </w:tc>
        <w:tc>
          <w:tcPr>
            <w:tcW w:w="135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  <w:jc w:val="center"/>
        </w:trPr>
        <w:tc>
          <w:tcPr>
            <w:tcW w:w="7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28.</w:t>
            </w:r>
          </w:p>
        </w:tc>
        <w:tc>
          <w:tcPr>
            <w:tcW w:w="4164" w:type="dxa"/>
            <w:tcBorders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pStyle w:val="Cmsor2"/>
              <w:tabs>
                <w:tab w:val="left" w:pos="364"/>
              </w:tabs>
              <w:ind w:left="364"/>
              <w:rPr>
                <w:b w:val="0"/>
                <w:sz w:val="18"/>
                <w:szCs w:val="18"/>
              </w:rPr>
            </w:pPr>
            <w:r w:rsidRPr="009E5CCD">
              <w:rPr>
                <w:b w:val="0"/>
                <w:sz w:val="18"/>
                <w:szCs w:val="18"/>
              </w:rPr>
              <w:t>Befektetett pénzügyi eszközök értékelési különbözete</w:t>
            </w:r>
          </w:p>
          <w:p w:rsidR="00B246FB" w:rsidRPr="009E5CCD" w:rsidRDefault="00B246FB" w:rsidP="00B9281B">
            <w:pPr>
              <w:pStyle w:val="Cmsor2"/>
              <w:tabs>
                <w:tab w:val="left" w:pos="355"/>
              </w:tabs>
              <w:ind w:left="364"/>
              <w:rPr>
                <w:b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</w:tbl>
    <w:p w:rsidR="00B246FB" w:rsidRPr="009E5CCD" w:rsidRDefault="00B246FB" w:rsidP="00B246FB">
      <w:pPr>
        <w:spacing w:after="0" w:line="240" w:lineRule="auto"/>
        <w:rPr>
          <w:rFonts w:ascii="Times New Roman" w:hAnsi="Times New Roman" w:cs="Times New Roman"/>
        </w:rPr>
      </w:pPr>
    </w:p>
    <w:p w:rsidR="00B246FB" w:rsidRPr="009E5CCD" w:rsidRDefault="00B246FB" w:rsidP="00B246FB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 xml:space="preserve">            adatok </w:t>
      </w:r>
      <w:proofErr w:type="spellStart"/>
      <w:r w:rsidRPr="009E5CCD">
        <w:rPr>
          <w:rFonts w:ascii="Times New Roman" w:hAnsi="Times New Roman" w:cs="Times New Roman"/>
        </w:rPr>
        <w:t>EFt</w:t>
      </w:r>
      <w:proofErr w:type="spellEnd"/>
      <w:r w:rsidRPr="009E5CCD">
        <w:rPr>
          <w:rFonts w:ascii="Times New Roman" w:hAnsi="Times New Roman" w:cs="Times New Roman"/>
        </w:rPr>
        <w:t>-ban</w:t>
      </w:r>
    </w:p>
    <w:tbl>
      <w:tblPr>
        <w:tblW w:w="10490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4264"/>
        <w:gridCol w:w="1362"/>
        <w:gridCol w:w="1283"/>
        <w:gridCol w:w="1140"/>
        <w:gridCol w:w="1715"/>
      </w:tblGrid>
      <w:tr w:rsidR="00B246FB" w:rsidRPr="009E5CCD" w:rsidTr="00B9281B">
        <w:trPr>
          <w:trHeight w:hRule="exact" w:val="834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Sor-</w:t>
            </w: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Szám</w:t>
            </w:r>
          </w:p>
        </w:tc>
        <w:tc>
          <w:tcPr>
            <w:tcW w:w="4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8"/>
              </w:rPr>
            </w:pPr>
            <w:r w:rsidRPr="009E5CCD">
              <w:rPr>
                <w:sz w:val="18"/>
              </w:rPr>
              <w:t>A tétel megnevezése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6"/>
                <w:szCs w:val="16"/>
              </w:rPr>
            </w:pPr>
            <w:r w:rsidRPr="009E5CCD">
              <w:rPr>
                <w:sz w:val="16"/>
                <w:szCs w:val="16"/>
              </w:rPr>
              <w:t>Könyv szerinti érték Várpalotai Közszolgáltató Nonprofit Kft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b/>
                <w:sz w:val="16"/>
                <w:szCs w:val="16"/>
              </w:rPr>
              <w:t>Átalakulással megszűnő Gazdasági Társaság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b/>
                <w:sz w:val="14"/>
                <w:szCs w:val="14"/>
              </w:rPr>
              <w:t>Különbözetek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4"/>
                <w:szCs w:val="14"/>
              </w:rPr>
            </w:pPr>
            <w:r w:rsidRPr="009E5CCD">
              <w:rPr>
                <w:sz w:val="14"/>
                <w:szCs w:val="14"/>
              </w:rPr>
              <w:t>Vagyonértékelés szerinti érték Várpalotai Közszolgáltató Nonprofit Kft.</w:t>
            </w:r>
          </w:p>
        </w:tc>
      </w:tr>
      <w:tr w:rsidR="00B246FB" w:rsidRPr="009E5CCD" w:rsidTr="00B9281B">
        <w:trPr>
          <w:trHeight w:val="117"/>
        </w:trPr>
        <w:tc>
          <w:tcPr>
            <w:tcW w:w="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b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E5CCD">
              <w:rPr>
                <w:rFonts w:ascii="Times New Roman" w:hAnsi="Times New Roman" w:cs="Times New Roman"/>
                <w:sz w:val="18"/>
              </w:rPr>
              <w:t>gf</w:t>
            </w:r>
            <w:proofErr w:type="spellEnd"/>
          </w:p>
        </w:tc>
      </w:tr>
      <w:tr w:rsidR="00B246FB" w:rsidRPr="009E5CCD" w:rsidTr="00B9281B">
        <w:trPr>
          <w:trHeight w:hRule="exact" w:val="380"/>
        </w:trPr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29.</w:t>
            </w:r>
          </w:p>
        </w:tc>
        <w:tc>
          <w:tcPr>
            <w:tcW w:w="4264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 xml:space="preserve">B.   </w:t>
            </w:r>
            <w:r w:rsidRPr="009E5CCD">
              <w:rPr>
                <w:rFonts w:ascii="Times New Roman" w:hAnsi="Times New Roman" w:cs="Times New Roman"/>
                <w:b/>
                <w:sz w:val="20"/>
              </w:rPr>
              <w:t>Forgóeszközök</w:t>
            </w:r>
            <w:r w:rsidRPr="009E5CCD">
              <w:rPr>
                <w:rFonts w:ascii="Times New Roman" w:hAnsi="Times New Roman" w:cs="Times New Roman"/>
                <w:b/>
                <w:sz w:val="18"/>
              </w:rPr>
              <w:t xml:space="preserve"> (30.+37.+46.+53. sor)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707 684</w:t>
            </w: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179 824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-115 761</w:t>
            </w:r>
          </w:p>
        </w:tc>
        <w:tc>
          <w:tcPr>
            <w:tcW w:w="17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771 747</w:t>
            </w: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6FB" w:rsidRPr="009E5CCD" w:rsidTr="00B9281B">
        <w:trPr>
          <w:trHeight w:hRule="exact" w:val="380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30.</w:t>
            </w:r>
          </w:p>
        </w:tc>
        <w:tc>
          <w:tcPr>
            <w:tcW w:w="42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I.     </w:t>
            </w:r>
            <w:r w:rsidRPr="009E5CCD">
              <w:rPr>
                <w:rFonts w:ascii="Times New Roman" w:hAnsi="Times New Roman" w:cs="Times New Roman"/>
                <w:sz w:val="20"/>
              </w:rPr>
              <w:t>Készletek</w:t>
            </w:r>
            <w:r w:rsidRPr="009E5CCD">
              <w:rPr>
                <w:rFonts w:ascii="Times New Roman" w:hAnsi="Times New Roman" w:cs="Times New Roman"/>
                <w:sz w:val="18"/>
              </w:rPr>
              <w:t xml:space="preserve"> (31.-36. sorok)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15 953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15 953</w:t>
            </w:r>
          </w:p>
        </w:tc>
      </w:tr>
      <w:tr w:rsidR="00B246FB" w:rsidRPr="009E5CCD" w:rsidTr="00B9281B">
        <w:trPr>
          <w:trHeight w:val="219"/>
        </w:trPr>
        <w:tc>
          <w:tcPr>
            <w:tcW w:w="726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31.</w:t>
            </w:r>
          </w:p>
        </w:tc>
        <w:tc>
          <w:tcPr>
            <w:tcW w:w="42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ind w:left="355" w:hanging="355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Anyagok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7 985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7 985</w:t>
            </w:r>
          </w:p>
        </w:tc>
      </w:tr>
      <w:tr w:rsidR="00B246FB" w:rsidRPr="009E5CCD" w:rsidTr="00B9281B">
        <w:trPr>
          <w:trHeight w:val="243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32.</w:t>
            </w:r>
          </w:p>
        </w:tc>
        <w:tc>
          <w:tcPr>
            <w:tcW w:w="42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Befejezetlen termelés és félkész termékek</w:t>
            </w:r>
          </w:p>
        </w:tc>
        <w:tc>
          <w:tcPr>
            <w:tcW w:w="1362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2 656</w:t>
            </w:r>
          </w:p>
        </w:tc>
        <w:tc>
          <w:tcPr>
            <w:tcW w:w="1283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2 656</w:t>
            </w:r>
          </w:p>
        </w:tc>
      </w:tr>
      <w:tr w:rsidR="00B246FB" w:rsidRPr="009E5CCD" w:rsidTr="00B9281B">
        <w:trPr>
          <w:trHeight w:val="321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33.</w:t>
            </w:r>
          </w:p>
        </w:tc>
        <w:tc>
          <w:tcPr>
            <w:tcW w:w="42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Növendék-, hízó- és egyéb állatok</w:t>
            </w:r>
          </w:p>
        </w:tc>
        <w:tc>
          <w:tcPr>
            <w:tcW w:w="1362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269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lastRenderedPageBreak/>
              <w:t>34.</w:t>
            </w:r>
          </w:p>
        </w:tc>
        <w:tc>
          <w:tcPr>
            <w:tcW w:w="42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Késztermékek</w:t>
            </w:r>
          </w:p>
        </w:tc>
        <w:tc>
          <w:tcPr>
            <w:tcW w:w="1362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302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35.</w:t>
            </w:r>
          </w:p>
        </w:tc>
        <w:tc>
          <w:tcPr>
            <w:tcW w:w="42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Áruk</w:t>
            </w:r>
          </w:p>
        </w:tc>
        <w:tc>
          <w:tcPr>
            <w:tcW w:w="1362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5 312</w:t>
            </w:r>
          </w:p>
        </w:tc>
        <w:tc>
          <w:tcPr>
            <w:tcW w:w="1283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5 312</w:t>
            </w:r>
          </w:p>
        </w:tc>
      </w:tr>
      <w:tr w:rsidR="00B246FB" w:rsidRPr="009E5CCD" w:rsidTr="00B9281B">
        <w:trPr>
          <w:trHeight w:val="235"/>
        </w:trPr>
        <w:tc>
          <w:tcPr>
            <w:tcW w:w="726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426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Készletekre adott előlegek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380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37.</w:t>
            </w:r>
          </w:p>
        </w:tc>
        <w:tc>
          <w:tcPr>
            <w:tcW w:w="4264" w:type="dxa"/>
            <w:tcBorders>
              <w:top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II.    </w:t>
            </w:r>
            <w:r w:rsidRPr="009E5CCD">
              <w:rPr>
                <w:rFonts w:ascii="Times New Roman" w:hAnsi="Times New Roman" w:cs="Times New Roman"/>
                <w:sz w:val="20"/>
              </w:rPr>
              <w:t xml:space="preserve">Követelések </w:t>
            </w:r>
            <w:r w:rsidRPr="009E5CCD">
              <w:rPr>
                <w:rFonts w:ascii="Times New Roman" w:hAnsi="Times New Roman" w:cs="Times New Roman"/>
                <w:sz w:val="18"/>
              </w:rPr>
              <w:t>(38.-45. sorok)</w:t>
            </w:r>
          </w:p>
        </w:tc>
        <w:tc>
          <w:tcPr>
            <w:tcW w:w="1362" w:type="dxa"/>
            <w:tcBorders>
              <w:top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9E5CCD">
              <w:rPr>
                <w:rFonts w:ascii="Times New Roman" w:hAnsi="Times New Roman" w:cs="Times New Roman"/>
                <w:b/>
                <w:szCs w:val="24"/>
              </w:rPr>
              <w:t>329 560</w:t>
            </w:r>
          </w:p>
        </w:tc>
        <w:tc>
          <w:tcPr>
            <w:tcW w:w="1283" w:type="dxa"/>
            <w:tcBorders>
              <w:top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179 150</w:t>
            </w:r>
          </w:p>
        </w:tc>
        <w:tc>
          <w:tcPr>
            <w:tcW w:w="1140" w:type="dxa"/>
            <w:tcBorders>
              <w:top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-115 761</w:t>
            </w:r>
          </w:p>
        </w:tc>
        <w:tc>
          <w:tcPr>
            <w:tcW w:w="171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9E5CCD">
              <w:rPr>
                <w:rFonts w:ascii="Times New Roman" w:hAnsi="Times New Roman" w:cs="Times New Roman"/>
                <w:b/>
              </w:rPr>
              <w:t>392 949</w:t>
            </w:r>
          </w:p>
        </w:tc>
      </w:tr>
      <w:tr w:rsidR="00B246FB" w:rsidRPr="009E5CCD" w:rsidTr="00B9281B">
        <w:trPr>
          <w:trHeight w:val="380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38.</w:t>
            </w:r>
          </w:p>
        </w:tc>
        <w:tc>
          <w:tcPr>
            <w:tcW w:w="42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Követelések áruszállításból és szolgáltatásból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(vevők)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98 920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166 541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265 461</w:t>
            </w:r>
          </w:p>
        </w:tc>
      </w:tr>
      <w:tr w:rsidR="00B246FB" w:rsidRPr="009E5CCD" w:rsidTr="00B9281B">
        <w:trPr>
          <w:trHeight w:val="380"/>
        </w:trPr>
        <w:tc>
          <w:tcPr>
            <w:tcW w:w="726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39.</w:t>
            </w:r>
          </w:p>
        </w:tc>
        <w:tc>
          <w:tcPr>
            <w:tcW w:w="42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Követelések kapcsolt vállalkozással szemben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9 210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9 210</w:t>
            </w:r>
          </w:p>
        </w:tc>
      </w:tr>
      <w:tr w:rsidR="00B246FB" w:rsidRPr="009E5CCD" w:rsidTr="00B9281B">
        <w:trPr>
          <w:trHeight w:val="325"/>
        </w:trPr>
        <w:tc>
          <w:tcPr>
            <w:tcW w:w="726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40.</w:t>
            </w:r>
          </w:p>
        </w:tc>
        <w:tc>
          <w:tcPr>
            <w:tcW w:w="42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ind w:left="357"/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Követelések jelentős tulajdoni részesedési viszonyban lévő vállalkozással szemben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115 761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-115 761</w:t>
            </w:r>
          </w:p>
        </w:tc>
        <w:tc>
          <w:tcPr>
            <w:tcW w:w="1715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331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41.</w:t>
            </w:r>
          </w:p>
        </w:tc>
        <w:tc>
          <w:tcPr>
            <w:tcW w:w="42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Követelések egyéb részesedési viszonyban lévő</w:t>
            </w:r>
          </w:p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vállalkozással szemben</w:t>
            </w:r>
          </w:p>
        </w:tc>
        <w:tc>
          <w:tcPr>
            <w:tcW w:w="1362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303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42.</w:t>
            </w:r>
          </w:p>
        </w:tc>
        <w:tc>
          <w:tcPr>
            <w:tcW w:w="4264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Váltókövetelések</w:t>
            </w:r>
          </w:p>
        </w:tc>
        <w:tc>
          <w:tcPr>
            <w:tcW w:w="1362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380"/>
        </w:trPr>
        <w:tc>
          <w:tcPr>
            <w:tcW w:w="726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43.</w:t>
            </w:r>
          </w:p>
        </w:tc>
        <w:tc>
          <w:tcPr>
            <w:tcW w:w="426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Egyéb követelések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105 669</w:t>
            </w: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12 609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118 278</w:t>
            </w:r>
          </w:p>
        </w:tc>
      </w:tr>
      <w:tr w:rsidR="00B246FB" w:rsidRPr="009E5CCD" w:rsidTr="00B9281B">
        <w:trPr>
          <w:trHeight w:val="313"/>
        </w:trPr>
        <w:tc>
          <w:tcPr>
            <w:tcW w:w="726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44.</w:t>
            </w:r>
          </w:p>
        </w:tc>
        <w:tc>
          <w:tcPr>
            <w:tcW w:w="426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ind w:left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>Követelések értékelési különbözete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213"/>
        </w:trPr>
        <w:tc>
          <w:tcPr>
            <w:tcW w:w="726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45.</w:t>
            </w:r>
          </w:p>
        </w:tc>
        <w:tc>
          <w:tcPr>
            <w:tcW w:w="426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ind w:left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Származékos ügyletek pozitív értékelési különbözete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380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46.</w:t>
            </w:r>
          </w:p>
        </w:tc>
        <w:tc>
          <w:tcPr>
            <w:tcW w:w="42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tabs>
                <w:tab w:val="left" w:pos="355"/>
              </w:tabs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III.   Értékpapírok</w:t>
            </w:r>
            <w:r w:rsidRPr="009E5CC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5CCD">
              <w:rPr>
                <w:rFonts w:ascii="Times New Roman" w:hAnsi="Times New Roman" w:cs="Times New Roman"/>
                <w:sz w:val="18"/>
              </w:rPr>
              <w:t>(47.-52. sorok)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246FB" w:rsidRPr="009E5CCD" w:rsidTr="00B9281B">
        <w:trPr>
          <w:trHeight w:val="265"/>
        </w:trPr>
        <w:tc>
          <w:tcPr>
            <w:tcW w:w="726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47.</w:t>
            </w:r>
          </w:p>
        </w:tc>
        <w:tc>
          <w:tcPr>
            <w:tcW w:w="42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Részesedés kapcsolt vállalkozásban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261"/>
        </w:trPr>
        <w:tc>
          <w:tcPr>
            <w:tcW w:w="726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48.</w:t>
            </w:r>
          </w:p>
        </w:tc>
        <w:tc>
          <w:tcPr>
            <w:tcW w:w="42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ind w:left="357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>Jelentős tulajdoni részesedés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251"/>
        </w:trPr>
        <w:tc>
          <w:tcPr>
            <w:tcW w:w="726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49.</w:t>
            </w:r>
          </w:p>
        </w:tc>
        <w:tc>
          <w:tcPr>
            <w:tcW w:w="426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Egyéb részesedés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244"/>
        </w:trPr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50.</w:t>
            </w:r>
          </w:p>
        </w:tc>
        <w:tc>
          <w:tcPr>
            <w:tcW w:w="42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Saját részvények, saját üzletrészek 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299"/>
        </w:trPr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51.</w:t>
            </w:r>
          </w:p>
        </w:tc>
        <w:tc>
          <w:tcPr>
            <w:tcW w:w="42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Forgatási célú hitelviszonyt megtestesítő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értékpapírok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356"/>
        </w:trPr>
        <w:tc>
          <w:tcPr>
            <w:tcW w:w="726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52.</w:t>
            </w:r>
          </w:p>
        </w:tc>
        <w:tc>
          <w:tcPr>
            <w:tcW w:w="4264" w:type="dxa"/>
            <w:tcBorders>
              <w:top w:val="single" w:sz="4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ind w:left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>Értékpapírok értékelési különbözete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val="380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53.</w:t>
            </w:r>
          </w:p>
        </w:tc>
        <w:tc>
          <w:tcPr>
            <w:tcW w:w="42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IV.  </w:t>
            </w:r>
            <w:r w:rsidRPr="009E5CCD">
              <w:rPr>
                <w:rFonts w:ascii="Times New Roman" w:hAnsi="Times New Roman" w:cs="Times New Roman"/>
                <w:sz w:val="20"/>
              </w:rPr>
              <w:t xml:space="preserve">Pénzeszközök </w:t>
            </w:r>
            <w:r w:rsidRPr="009E5CCD">
              <w:rPr>
                <w:rFonts w:ascii="Times New Roman" w:hAnsi="Times New Roman" w:cs="Times New Roman"/>
                <w:sz w:val="18"/>
              </w:rPr>
              <w:t xml:space="preserve">(54.-55. sorok)  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362 171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674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362 845</w:t>
            </w:r>
          </w:p>
        </w:tc>
      </w:tr>
      <w:tr w:rsidR="00B246FB" w:rsidRPr="009E5CCD" w:rsidTr="00B9281B">
        <w:trPr>
          <w:trHeight w:val="323"/>
        </w:trPr>
        <w:tc>
          <w:tcPr>
            <w:tcW w:w="726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54.</w:t>
            </w:r>
          </w:p>
        </w:tc>
        <w:tc>
          <w:tcPr>
            <w:tcW w:w="42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Pénztár, csekkek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2 881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2 881</w:t>
            </w:r>
          </w:p>
        </w:tc>
      </w:tr>
      <w:tr w:rsidR="00B246FB" w:rsidRPr="009E5CCD" w:rsidTr="00B9281B">
        <w:trPr>
          <w:trHeight w:val="349"/>
        </w:trPr>
        <w:tc>
          <w:tcPr>
            <w:tcW w:w="726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55.</w:t>
            </w:r>
          </w:p>
        </w:tc>
        <w:tc>
          <w:tcPr>
            <w:tcW w:w="426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Bankbetétek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359 290</w:t>
            </w: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359 964</w:t>
            </w:r>
          </w:p>
        </w:tc>
      </w:tr>
      <w:tr w:rsidR="00B246FB" w:rsidRPr="009E5CCD" w:rsidTr="00B9281B">
        <w:trPr>
          <w:trHeight w:val="380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56.</w:t>
            </w:r>
          </w:p>
        </w:tc>
        <w:tc>
          <w:tcPr>
            <w:tcW w:w="42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pStyle w:val="Cmsor2"/>
              <w:rPr>
                <w:b w:val="0"/>
                <w:sz w:val="18"/>
              </w:rPr>
            </w:pPr>
            <w:r w:rsidRPr="009E5CCD">
              <w:rPr>
                <w:sz w:val="18"/>
              </w:rPr>
              <w:t xml:space="preserve">C.   </w:t>
            </w:r>
            <w:r w:rsidRPr="009E5CCD">
              <w:rPr>
                <w:sz w:val="20"/>
              </w:rPr>
              <w:t>Aktív időbeli elhatárolások</w:t>
            </w:r>
            <w:r w:rsidRPr="009E5CCD">
              <w:rPr>
                <w:sz w:val="18"/>
              </w:rPr>
              <w:t xml:space="preserve"> </w:t>
            </w:r>
            <w:r w:rsidRPr="009E5CCD">
              <w:rPr>
                <w:b w:val="0"/>
                <w:sz w:val="18"/>
              </w:rPr>
              <w:t>(57.-59. sorok)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62 061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62 183</w:t>
            </w:r>
          </w:p>
        </w:tc>
      </w:tr>
      <w:tr w:rsidR="00B246FB" w:rsidRPr="009E5CCD" w:rsidTr="00B9281B">
        <w:trPr>
          <w:trHeight w:val="299"/>
        </w:trPr>
        <w:tc>
          <w:tcPr>
            <w:tcW w:w="726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57.</w:t>
            </w:r>
          </w:p>
        </w:tc>
        <w:tc>
          <w:tcPr>
            <w:tcW w:w="426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pStyle w:val="Cmsor2"/>
              <w:rPr>
                <w:b w:val="0"/>
                <w:sz w:val="18"/>
              </w:rPr>
            </w:pPr>
            <w:r w:rsidRPr="009E5CCD">
              <w:rPr>
                <w:b w:val="0"/>
                <w:sz w:val="18"/>
              </w:rPr>
              <w:t xml:space="preserve">       Bevételek aktív időbeli elhatárolása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61 273</w:t>
            </w: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61 273</w:t>
            </w:r>
          </w:p>
        </w:tc>
      </w:tr>
      <w:tr w:rsidR="00B246FB" w:rsidRPr="009E5CCD" w:rsidTr="00B9281B">
        <w:trPr>
          <w:trHeight w:val="266"/>
        </w:trPr>
        <w:tc>
          <w:tcPr>
            <w:tcW w:w="726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58.</w:t>
            </w:r>
          </w:p>
        </w:tc>
        <w:tc>
          <w:tcPr>
            <w:tcW w:w="426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pStyle w:val="Cmsor2"/>
              <w:tabs>
                <w:tab w:val="left" w:pos="355"/>
              </w:tabs>
              <w:rPr>
                <w:b w:val="0"/>
                <w:sz w:val="16"/>
                <w:szCs w:val="16"/>
              </w:rPr>
            </w:pPr>
            <w:r w:rsidRPr="009E5CCD">
              <w:rPr>
                <w:sz w:val="16"/>
                <w:szCs w:val="16"/>
              </w:rPr>
              <w:t xml:space="preserve">      </w:t>
            </w:r>
            <w:r w:rsidRPr="009E5CCD">
              <w:rPr>
                <w:b w:val="0"/>
                <w:sz w:val="16"/>
                <w:szCs w:val="16"/>
              </w:rPr>
              <w:t>Költségek, ráfordítások aktív időbeli elhatárolása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910</w:t>
            </w:r>
          </w:p>
        </w:tc>
      </w:tr>
      <w:tr w:rsidR="00B246FB" w:rsidRPr="009E5CCD" w:rsidTr="00B9281B">
        <w:trPr>
          <w:trHeight w:hRule="exact" w:val="331"/>
        </w:trPr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lastRenderedPageBreak/>
              <w:t>59.</w:t>
            </w:r>
          </w:p>
        </w:tc>
        <w:tc>
          <w:tcPr>
            <w:tcW w:w="426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pStyle w:val="Cmsor2"/>
              <w:tabs>
                <w:tab w:val="left" w:pos="355"/>
              </w:tabs>
              <w:rPr>
                <w:b w:val="0"/>
                <w:sz w:val="18"/>
              </w:rPr>
            </w:pPr>
            <w:r w:rsidRPr="009E5CCD">
              <w:rPr>
                <w:b w:val="0"/>
                <w:sz w:val="18"/>
              </w:rPr>
              <w:t xml:space="preserve">       Halasztott ráfordítások        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00"/>
        </w:trPr>
        <w:tc>
          <w:tcPr>
            <w:tcW w:w="726" w:type="dxa"/>
            <w:tcBorders>
              <w:right w:val="single" w:sz="8" w:space="0" w:color="auto"/>
            </w:tcBorders>
            <w:vAlign w:val="center"/>
          </w:tcPr>
          <w:p w:rsidR="00B246FB" w:rsidRPr="009E5CCD" w:rsidRDefault="00B246FB" w:rsidP="009E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60.</w:t>
            </w:r>
          </w:p>
        </w:tc>
        <w:tc>
          <w:tcPr>
            <w:tcW w:w="4264" w:type="dxa"/>
            <w:tcBorders>
              <w:left w:val="nil"/>
              <w:right w:val="single" w:sz="8" w:space="0" w:color="auto"/>
            </w:tcBorders>
            <w:vAlign w:val="center"/>
          </w:tcPr>
          <w:p w:rsidR="00B246FB" w:rsidRPr="009E5CCD" w:rsidRDefault="00B246FB" w:rsidP="009E5CCD">
            <w:pPr>
              <w:pStyle w:val="Cmsor7"/>
              <w:spacing w:before="0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</w:rPr>
              <w:t>ESZKÖZÖK ÖSSZESEN (01.+29.+56. sor)</w:t>
            </w:r>
          </w:p>
        </w:tc>
        <w:tc>
          <w:tcPr>
            <w:tcW w:w="1362" w:type="dxa"/>
            <w:tcBorders>
              <w:left w:val="nil"/>
              <w:right w:val="single" w:sz="8" w:space="0" w:color="auto"/>
            </w:tcBorders>
            <w:vAlign w:val="center"/>
          </w:tcPr>
          <w:p w:rsidR="00B246FB" w:rsidRPr="009E5CCD" w:rsidRDefault="00B246FB" w:rsidP="009E5C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2 057 746</w:t>
            </w:r>
          </w:p>
        </w:tc>
        <w:tc>
          <w:tcPr>
            <w:tcW w:w="1283" w:type="dxa"/>
            <w:tcBorders>
              <w:left w:val="nil"/>
              <w:right w:val="single" w:sz="4" w:space="0" w:color="auto"/>
            </w:tcBorders>
            <w:vAlign w:val="center"/>
          </w:tcPr>
          <w:p w:rsidR="00B246FB" w:rsidRPr="009E5CCD" w:rsidRDefault="00B246FB" w:rsidP="009E5C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196 630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6FB" w:rsidRPr="009E5CCD" w:rsidRDefault="00B246FB" w:rsidP="009E5C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-130 124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B246FB" w:rsidRPr="009E5CCD" w:rsidRDefault="00B246FB" w:rsidP="009E5C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2 124 252</w:t>
            </w:r>
          </w:p>
        </w:tc>
      </w:tr>
    </w:tbl>
    <w:p w:rsidR="00B246FB" w:rsidRPr="009E5CCD" w:rsidRDefault="00B246FB" w:rsidP="00B246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B246FB" w:rsidRPr="009E5CCD" w:rsidRDefault="00B246FB" w:rsidP="00B246FB">
      <w:pPr>
        <w:pStyle w:val="Cmsor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9E5CCD">
        <w:rPr>
          <w:rFonts w:ascii="Times New Roman" w:hAnsi="Times New Roman" w:cs="Times New Roman"/>
          <w:b/>
          <w:i w:val="0"/>
          <w:color w:val="000000" w:themeColor="text1"/>
        </w:rPr>
        <w:t>MÉRLEG „A” változat</w:t>
      </w:r>
    </w:p>
    <w:p w:rsidR="00B246FB" w:rsidRPr="009E5CCD" w:rsidRDefault="00B246FB" w:rsidP="00B246FB">
      <w:pPr>
        <w:pStyle w:val="Cmsor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9E5CCD">
        <w:rPr>
          <w:rFonts w:ascii="Times New Roman" w:hAnsi="Times New Roman" w:cs="Times New Roman"/>
          <w:b/>
          <w:i w:val="0"/>
          <w:color w:val="000000" w:themeColor="text1"/>
        </w:rPr>
        <w:t>Források (passzívák)</w:t>
      </w:r>
    </w:p>
    <w:p w:rsidR="00B246FB" w:rsidRPr="009E5CCD" w:rsidRDefault="00B246FB" w:rsidP="00B246FB">
      <w:pPr>
        <w:spacing w:after="0" w:line="240" w:lineRule="auto"/>
        <w:ind w:left="7080"/>
        <w:rPr>
          <w:rFonts w:ascii="Times New Roman" w:hAnsi="Times New Roman" w:cs="Times New Roman"/>
          <w:color w:val="000000" w:themeColor="text1"/>
        </w:rPr>
      </w:pPr>
      <w:r w:rsidRPr="009E5CCD">
        <w:rPr>
          <w:rFonts w:ascii="Times New Roman" w:hAnsi="Times New Roman" w:cs="Times New Roman"/>
          <w:color w:val="000000" w:themeColor="text1"/>
        </w:rPr>
        <w:t xml:space="preserve">          adatok </w:t>
      </w:r>
      <w:proofErr w:type="spellStart"/>
      <w:r w:rsidRPr="009E5CCD">
        <w:rPr>
          <w:rFonts w:ascii="Times New Roman" w:hAnsi="Times New Roman" w:cs="Times New Roman"/>
          <w:color w:val="000000" w:themeColor="text1"/>
        </w:rPr>
        <w:t>EFt</w:t>
      </w:r>
      <w:proofErr w:type="spellEnd"/>
      <w:r w:rsidRPr="009E5CCD">
        <w:rPr>
          <w:rFonts w:ascii="Times New Roman" w:hAnsi="Times New Roman" w:cs="Times New Roman"/>
          <w:color w:val="000000" w:themeColor="text1"/>
        </w:rPr>
        <w:t>-ban</w:t>
      </w:r>
    </w:p>
    <w:tbl>
      <w:tblPr>
        <w:tblW w:w="10632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10"/>
        <w:gridCol w:w="1418"/>
        <w:gridCol w:w="1275"/>
        <w:gridCol w:w="1418"/>
        <w:gridCol w:w="1701"/>
      </w:tblGrid>
      <w:tr w:rsidR="00B246FB" w:rsidRPr="009E5CCD" w:rsidTr="00B9281B">
        <w:trPr>
          <w:trHeight w:hRule="exact" w:val="78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Sor-</w:t>
            </w: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szám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8"/>
              </w:rPr>
            </w:pPr>
            <w:r w:rsidRPr="009E5CCD">
              <w:rPr>
                <w:sz w:val="18"/>
              </w:rPr>
              <w:t>A tétel megnevezése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6"/>
                <w:szCs w:val="16"/>
              </w:rPr>
            </w:pPr>
            <w:r w:rsidRPr="009E5CCD">
              <w:rPr>
                <w:sz w:val="16"/>
                <w:szCs w:val="16"/>
              </w:rPr>
              <w:t>Könyv szerinti érték Várpalotai Közszolgáltató Nonprofit Kft.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b/>
                <w:sz w:val="16"/>
                <w:szCs w:val="16"/>
              </w:rPr>
              <w:t>Átalakulással megszűnő Gazdasági Társaság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b/>
                <w:sz w:val="14"/>
                <w:szCs w:val="14"/>
              </w:rPr>
              <w:t>Különbözetek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2"/>
                <w:szCs w:val="12"/>
              </w:rPr>
            </w:pPr>
            <w:r w:rsidRPr="009E5CCD">
              <w:rPr>
                <w:sz w:val="12"/>
                <w:szCs w:val="12"/>
              </w:rPr>
              <w:t>Vagyonértékelés szerinti érték Várpalotai Közszolgáltató Nonprofit Kft.</w:t>
            </w:r>
          </w:p>
        </w:tc>
      </w:tr>
      <w:tr w:rsidR="00B246FB" w:rsidRPr="009E5CCD" w:rsidTr="00B9281B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ind w:right="-495"/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g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61.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b/>
                <w:sz w:val="16"/>
                <w:szCs w:val="16"/>
              </w:rPr>
              <w:t>D.   Saját tőke (62.+64.+65.+66.+67.+68.+71.sor)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960 820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35 926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-14 363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982 383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62.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I.     </w:t>
            </w:r>
            <w:r w:rsidRPr="009E5CCD">
              <w:rPr>
                <w:rFonts w:ascii="Times New Roman" w:hAnsi="Times New Roman" w:cs="Times New Roman"/>
                <w:sz w:val="20"/>
              </w:rPr>
              <w:t xml:space="preserve">Jegyzett tőke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432 450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-1 200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434 250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63.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ind w:left="355" w:hanging="355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54. sorból:</w:t>
            </w:r>
          </w:p>
          <w:p w:rsidR="00B246FB" w:rsidRPr="009E5CCD" w:rsidRDefault="00B246FB" w:rsidP="00B9281B">
            <w:pPr>
              <w:ind w:left="355" w:hanging="355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visszavásárolt tulajdoni részesedés névértéken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64.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pStyle w:val="Jegyzetszveg"/>
              <w:rPr>
                <w:sz w:val="18"/>
                <w:szCs w:val="18"/>
              </w:rPr>
            </w:pPr>
            <w:r w:rsidRPr="009E5CCD">
              <w:rPr>
                <w:sz w:val="18"/>
                <w:szCs w:val="18"/>
              </w:rPr>
              <w:t>II.   JEGYZETT, DE MÉG BE NEM</w:t>
            </w:r>
          </w:p>
          <w:p w:rsidR="00B246FB" w:rsidRPr="009E5CCD" w:rsidRDefault="00B246FB" w:rsidP="00B9281B">
            <w:pPr>
              <w:rPr>
                <w:rFonts w:ascii="Times New Roman" w:hAnsi="Times New Roman" w:cs="Times New Roman"/>
                <w:sz w:val="20"/>
              </w:rPr>
            </w:pP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 xml:space="preserve">      FIZETETT TŐKE (-)</w:t>
            </w:r>
            <w:r w:rsidRPr="009E5C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20"/>
              </w:rPr>
            </w:pPr>
            <w:r w:rsidRPr="009E5CCD">
              <w:rPr>
                <w:rFonts w:ascii="Times New Roman" w:hAnsi="Times New Roman" w:cs="Times New Roman"/>
                <w:sz w:val="20"/>
              </w:rPr>
              <w:t xml:space="preserve">III.  </w:t>
            </w:r>
            <w:r w:rsidRPr="009E5CCD">
              <w:rPr>
                <w:rFonts w:ascii="Times New Roman" w:hAnsi="Times New Roman" w:cs="Times New Roman"/>
              </w:rPr>
              <w:t>TŐKETARTALÉK</w:t>
            </w:r>
            <w:r w:rsidRPr="009E5CCD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9E5C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39 115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36 225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-14 490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60 850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66.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IV.   </w:t>
            </w:r>
            <w:r w:rsidRPr="009E5CCD">
              <w:rPr>
                <w:rFonts w:ascii="Times New Roman" w:hAnsi="Times New Roman" w:cs="Times New Roman"/>
                <w:sz w:val="20"/>
              </w:rPr>
              <w:t>EREDMÉNYTARTALÉK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 xml:space="preserve">402 494 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-3 299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1 327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 xml:space="preserve">400 522 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V.    </w:t>
            </w:r>
            <w:r w:rsidRPr="009E5CCD">
              <w:rPr>
                <w:rFonts w:ascii="Times New Roman" w:hAnsi="Times New Roman" w:cs="Times New Roman"/>
                <w:sz w:val="20"/>
              </w:rPr>
              <w:t>LEKÖTÖTT TARTALÉK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86 761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86 761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68.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VI</w:t>
            </w:r>
            <w:r w:rsidRPr="009E5CCD">
              <w:rPr>
                <w:rFonts w:ascii="Times New Roman" w:hAnsi="Times New Roman" w:cs="Times New Roman"/>
                <w:sz w:val="20"/>
              </w:rPr>
              <w:t>.   ÉRTÉKELÉSI TARTALÉK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69.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E5CCD">
              <w:rPr>
                <w:rFonts w:ascii="Times New Roman" w:hAnsi="Times New Roman" w:cs="Times New Roman"/>
                <w:sz w:val="20"/>
              </w:rPr>
              <w:t xml:space="preserve">      1. Értékhelyesbítés értékelési tartaléka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70.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E5CCD">
              <w:rPr>
                <w:rFonts w:ascii="Times New Roman" w:hAnsi="Times New Roman" w:cs="Times New Roman"/>
                <w:sz w:val="20"/>
              </w:rPr>
              <w:t xml:space="preserve">      2. Valós értékelés értékelési tartaléka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71.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VII.  </w:t>
            </w:r>
            <w:r w:rsidRPr="009E5CCD">
              <w:rPr>
                <w:rFonts w:ascii="Times New Roman" w:hAnsi="Times New Roman" w:cs="Times New Roman"/>
                <w:sz w:val="20"/>
              </w:rPr>
              <w:t>ADÓZOTT EREDMÉNY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72.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9E5CCD">
            <w:pPr>
              <w:pStyle w:val="Cmsor3"/>
              <w:spacing w:before="0"/>
              <w:rPr>
                <w:rFonts w:ascii="Times New Roman" w:hAnsi="Times New Roman" w:cs="Times New Roman"/>
                <w:b w:val="0"/>
              </w:rPr>
            </w:pPr>
            <w:r w:rsidRPr="009E5CCD">
              <w:rPr>
                <w:rFonts w:ascii="Times New Roman" w:hAnsi="Times New Roman" w:cs="Times New Roman"/>
              </w:rPr>
              <w:t xml:space="preserve">E.    </w:t>
            </w:r>
            <w:r w:rsidRPr="009E5CCD">
              <w:rPr>
                <w:rFonts w:ascii="Times New Roman" w:hAnsi="Times New Roman" w:cs="Times New Roman"/>
                <w:sz w:val="20"/>
              </w:rPr>
              <w:t xml:space="preserve">Céltartalékok </w:t>
            </w:r>
            <w:r w:rsidRPr="009E5CCD">
              <w:rPr>
                <w:rFonts w:ascii="Times New Roman" w:hAnsi="Times New Roman" w:cs="Times New Roman"/>
                <w:b w:val="0"/>
              </w:rPr>
              <w:t>(73.-75. sorok)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165 191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165 191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73.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Céltartalék a várható kötelezettségekre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17 273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17 273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74.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Céltartalék a jövőbeni költségekre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147 918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147 918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75.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Egyéb céltartalék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76.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 xml:space="preserve">F.    </w:t>
            </w:r>
            <w:r w:rsidRPr="009E5CCD">
              <w:rPr>
                <w:rFonts w:ascii="Times New Roman" w:hAnsi="Times New Roman" w:cs="Times New Roman"/>
                <w:b/>
                <w:sz w:val="20"/>
              </w:rPr>
              <w:t xml:space="preserve">Kötelezettségek </w:t>
            </w:r>
            <w:r w:rsidRPr="009E5CCD">
              <w:rPr>
                <w:rFonts w:ascii="Times New Roman" w:hAnsi="Times New Roman" w:cs="Times New Roman"/>
                <w:b/>
                <w:sz w:val="18"/>
              </w:rPr>
              <w:t>(77.+82.+92. sor)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921 685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155 754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-115 761</w:t>
            </w:r>
          </w:p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961 678</w:t>
            </w:r>
          </w:p>
        </w:tc>
      </w:tr>
      <w:tr w:rsidR="00B246FB" w:rsidRPr="009E5CCD" w:rsidTr="00B9281B">
        <w:trPr>
          <w:trHeight w:hRule="exact" w:val="525"/>
        </w:trPr>
        <w:tc>
          <w:tcPr>
            <w:tcW w:w="710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77.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numPr>
                <w:ilvl w:val="0"/>
                <w:numId w:val="1"/>
              </w:num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E5CCD">
              <w:rPr>
                <w:rFonts w:ascii="Times New Roman" w:hAnsi="Times New Roman" w:cs="Times New Roman"/>
                <w:b/>
                <w:sz w:val="20"/>
              </w:rPr>
              <w:t>HÁTRASOROLT KÖTELEZETTSÉGEK</w:t>
            </w:r>
          </w:p>
          <w:p w:rsidR="00B246FB" w:rsidRPr="009E5CCD" w:rsidRDefault="00B246FB" w:rsidP="00B9281B">
            <w:pPr>
              <w:tabs>
                <w:tab w:val="left" w:pos="355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 xml:space="preserve">        (78.-81. sorok)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78.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Hátrasorolt</w:t>
            </w:r>
            <w:proofErr w:type="spellEnd"/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kötelezettségek kapcsolt </w:t>
            </w:r>
            <w:proofErr w:type="spellStart"/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vállalko</w:t>
            </w:r>
            <w:proofErr w:type="spellEnd"/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zással</w:t>
            </w:r>
            <w:proofErr w:type="spellEnd"/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szemben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79.</w:t>
            </w:r>
          </w:p>
        </w:tc>
        <w:tc>
          <w:tcPr>
            <w:tcW w:w="4110" w:type="dxa"/>
            <w:vAlign w:val="center"/>
          </w:tcPr>
          <w:p w:rsidR="00B246FB" w:rsidRPr="009E5CCD" w:rsidRDefault="00B246FB" w:rsidP="00B9281B">
            <w:pPr>
              <w:ind w:left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>Hátrasorolt kötelezettségek jelentős tulajdoni viszonyban lévő vállalkozással szemben</w:t>
            </w:r>
          </w:p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80.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Hátrasorolt kötelezettségek egyéb részesedési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viszonyban lévő vállalkozással szemben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81.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Hátrasorolt kötelezettségek egyéb gazdálkodó-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val</w:t>
            </w:r>
            <w:proofErr w:type="spellEnd"/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szemben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</w:tbl>
    <w:p w:rsidR="00B246FB" w:rsidRPr="009E5CCD" w:rsidRDefault="00B246FB" w:rsidP="00B246FB">
      <w:pPr>
        <w:spacing w:after="0" w:line="240" w:lineRule="auto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  <w:b/>
        </w:rPr>
        <w:t xml:space="preserve">                 </w:t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  <w:t xml:space="preserve">     </w:t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  <w:b/>
        </w:rPr>
        <w:tab/>
      </w:r>
      <w:r w:rsidRPr="009E5CCD">
        <w:rPr>
          <w:rFonts w:ascii="Times New Roman" w:hAnsi="Times New Roman" w:cs="Times New Roman"/>
        </w:rPr>
        <w:t xml:space="preserve">adatok </w:t>
      </w:r>
      <w:proofErr w:type="spellStart"/>
      <w:r w:rsidRPr="009E5CCD">
        <w:rPr>
          <w:rFonts w:ascii="Times New Roman" w:hAnsi="Times New Roman" w:cs="Times New Roman"/>
        </w:rPr>
        <w:t>EFt</w:t>
      </w:r>
      <w:proofErr w:type="spellEnd"/>
      <w:r w:rsidRPr="009E5CCD">
        <w:rPr>
          <w:rFonts w:ascii="Times New Roman" w:hAnsi="Times New Roman" w:cs="Times New Roman"/>
        </w:rPr>
        <w:t xml:space="preserve">-ban </w:t>
      </w:r>
    </w:p>
    <w:tbl>
      <w:tblPr>
        <w:tblW w:w="10490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276"/>
        <w:gridCol w:w="1134"/>
        <w:gridCol w:w="1701"/>
      </w:tblGrid>
      <w:tr w:rsidR="00B246FB" w:rsidRPr="009E5CCD" w:rsidTr="00B9281B">
        <w:trPr>
          <w:trHeight w:hRule="exact" w:val="84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Sor-</w:t>
            </w: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Szám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8"/>
              </w:rPr>
            </w:pPr>
            <w:r w:rsidRPr="009E5CCD">
              <w:rPr>
                <w:sz w:val="18"/>
              </w:rPr>
              <w:t>A tétel megnevezése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6"/>
                <w:szCs w:val="16"/>
              </w:rPr>
            </w:pPr>
            <w:r w:rsidRPr="009E5CCD">
              <w:rPr>
                <w:sz w:val="16"/>
                <w:szCs w:val="16"/>
              </w:rPr>
              <w:t>Könyv szerinti érték Várpalotai Közszolgáltató Nonprofit Kft.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b/>
                <w:sz w:val="16"/>
                <w:szCs w:val="16"/>
              </w:rPr>
              <w:t>Átalakulással megszűnő Gazdasági Társaság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b/>
                <w:sz w:val="14"/>
                <w:szCs w:val="14"/>
              </w:rPr>
              <w:t>Különbözetek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pStyle w:val="Cmsor1"/>
              <w:rPr>
                <w:sz w:val="18"/>
              </w:rPr>
            </w:pPr>
            <w:r w:rsidRPr="009E5CCD">
              <w:rPr>
                <w:sz w:val="14"/>
                <w:szCs w:val="14"/>
              </w:rPr>
              <w:t>Vagyonértékelés szerinti érték Várpalotai Közszolgáltató Nonprofit Kft.</w:t>
            </w:r>
          </w:p>
        </w:tc>
      </w:tr>
      <w:tr w:rsidR="00B246FB" w:rsidRPr="009E5CCD" w:rsidTr="00B9281B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lastRenderedPageBreak/>
              <w:t>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ind w:right="-495"/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g</w:t>
            </w:r>
          </w:p>
        </w:tc>
      </w:tr>
      <w:tr w:rsidR="00B246FB" w:rsidRPr="009E5CCD" w:rsidTr="00B9281B">
        <w:trPr>
          <w:trHeight w:hRule="exact" w:val="571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82.</w:t>
            </w: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20"/>
              </w:rPr>
            </w:pPr>
            <w:r w:rsidRPr="009E5CCD">
              <w:rPr>
                <w:rFonts w:ascii="Times New Roman" w:hAnsi="Times New Roman" w:cs="Times New Roman"/>
                <w:sz w:val="20"/>
              </w:rPr>
              <w:t xml:space="preserve">II.   </w:t>
            </w: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>HOSSZÚ LEJÁRATÚ KÖTELEZETTSÉGEK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(83.-91. sorok</w:t>
            </w:r>
            <w:r w:rsidRPr="009E5CCD">
              <w:rPr>
                <w:rFonts w:ascii="Times New Roman" w:hAnsi="Times New Roman" w:cs="Times New Roman"/>
                <w:sz w:val="18"/>
              </w:rPr>
              <w:t>)</w:t>
            </w:r>
            <w:r w:rsidRPr="009E5CCD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464 528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464 528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83.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Hosszú lejáratra kapott kölcsönök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84.</w:t>
            </w: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Átváltoztatható és átváltozó kötvények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3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85.</w:t>
            </w:r>
          </w:p>
        </w:tc>
        <w:tc>
          <w:tcPr>
            <w:tcW w:w="4253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Tartozások kötvénykibocsátásból</w:t>
            </w:r>
          </w:p>
        </w:tc>
        <w:tc>
          <w:tcPr>
            <w:tcW w:w="1417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86.</w:t>
            </w:r>
          </w:p>
        </w:tc>
        <w:tc>
          <w:tcPr>
            <w:tcW w:w="4253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Beruházási és fejlesztési hitelek</w:t>
            </w:r>
          </w:p>
        </w:tc>
        <w:tc>
          <w:tcPr>
            <w:tcW w:w="1417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3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87.</w:t>
            </w:r>
          </w:p>
        </w:tc>
        <w:tc>
          <w:tcPr>
            <w:tcW w:w="4253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Egyéb hosszú lejáratú hitelek</w:t>
            </w:r>
          </w:p>
        </w:tc>
        <w:tc>
          <w:tcPr>
            <w:tcW w:w="1417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88.</w:t>
            </w:r>
          </w:p>
        </w:tc>
        <w:tc>
          <w:tcPr>
            <w:tcW w:w="4253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Tartós kötelezettségek kapcsolt</w:t>
            </w:r>
          </w:p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vállalkozással szemben</w:t>
            </w:r>
          </w:p>
        </w:tc>
        <w:tc>
          <w:tcPr>
            <w:tcW w:w="1417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89.</w:t>
            </w:r>
          </w:p>
        </w:tc>
        <w:tc>
          <w:tcPr>
            <w:tcW w:w="4253" w:type="dxa"/>
            <w:vAlign w:val="center"/>
          </w:tcPr>
          <w:p w:rsidR="00B246FB" w:rsidRPr="009E5CCD" w:rsidRDefault="00B246FB" w:rsidP="00B9281B">
            <w:pPr>
              <w:ind w:left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>Tartós kötelezettségek jelentős tulajdoni részesedési viszonyban lévő vállalkozásokkal szemben</w:t>
            </w:r>
          </w:p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90.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Tartós kötelezettségek egyéb részesedési</w:t>
            </w:r>
          </w:p>
          <w:p w:rsidR="00B246FB" w:rsidRPr="009E5CCD" w:rsidRDefault="00B246FB" w:rsidP="00B9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viszonyban lévő vállalkozással szemben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91.</w:t>
            </w:r>
          </w:p>
        </w:tc>
        <w:tc>
          <w:tcPr>
            <w:tcW w:w="4253" w:type="dxa"/>
            <w:tcBorders>
              <w:top w:val="single" w:sz="8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Egyéb hosszú lejáratú kötelezettségek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464 528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464 528</w:t>
            </w:r>
          </w:p>
        </w:tc>
      </w:tr>
      <w:tr w:rsidR="00B246FB" w:rsidRPr="009E5CCD" w:rsidTr="00B9281B">
        <w:trPr>
          <w:trHeight w:hRule="exact" w:val="64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92.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 xml:space="preserve">III.  RÖVID LEJÁRATÚ KÖTELEZETTSÉGEK  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CCD">
              <w:rPr>
                <w:rFonts w:ascii="Times New Roman" w:hAnsi="Times New Roman" w:cs="Times New Roman"/>
                <w:sz w:val="18"/>
                <w:szCs w:val="18"/>
              </w:rPr>
              <w:t xml:space="preserve">       (93. és 95.-102. sorok)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457 157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155 754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-115 761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497 150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09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93.</w:t>
            </w: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Rövid lejáratú kölcsönök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94.</w:t>
            </w:r>
          </w:p>
        </w:tc>
        <w:tc>
          <w:tcPr>
            <w:tcW w:w="4253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93. sorból: az átváltoztatható ás átváltozó kötvények</w:t>
            </w:r>
          </w:p>
        </w:tc>
        <w:tc>
          <w:tcPr>
            <w:tcW w:w="1417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95.</w:t>
            </w:r>
          </w:p>
        </w:tc>
        <w:tc>
          <w:tcPr>
            <w:tcW w:w="4253" w:type="dxa"/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Rövid lejáratú hitelek</w:t>
            </w:r>
          </w:p>
        </w:tc>
        <w:tc>
          <w:tcPr>
            <w:tcW w:w="1417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20"/>
        </w:trPr>
        <w:tc>
          <w:tcPr>
            <w:tcW w:w="709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96.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Vevőktől kapott előlegek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97.</w:t>
            </w:r>
          </w:p>
        </w:tc>
        <w:tc>
          <w:tcPr>
            <w:tcW w:w="4253" w:type="dxa"/>
            <w:tcBorders>
              <w:top w:val="single" w:sz="8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tabs>
                <w:tab w:val="left" w:pos="355"/>
              </w:tabs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Kötelezettségek áruszállításból és szolgál-</w:t>
            </w:r>
          </w:p>
          <w:p w:rsidR="00B246FB" w:rsidRPr="009E5CCD" w:rsidRDefault="00B246FB" w:rsidP="00B9281B">
            <w:pPr>
              <w:tabs>
                <w:tab w:val="left" w:pos="355"/>
              </w:tabs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tatásból (szállítók)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201 523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22 259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223 782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98.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Váltótartozások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99.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Rövid lejáratú kötelezettségek kapcsolt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vállalkozással szemben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100.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ind w:left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Rövid lejáratú kötelezettségek jelentős tulajdoni részesedési viszonyban lévő vállalkozásokkal szemben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115 761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-115 761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101.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Rövid lejáratú kötelezettségek egyéb részese-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dési viszonyban lévő vállalkozással szemben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102.</w:t>
            </w: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Egyéb rövid lejáratú kötelezettségek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255 634</w:t>
            </w:r>
          </w:p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17 734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273 368</w:t>
            </w:r>
          </w:p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5CCD">
              <w:rPr>
                <w:rFonts w:ascii="Times New Roman" w:hAnsi="Times New Roman" w:cs="Times New Roman"/>
                <w:b/>
                <w:sz w:val="20"/>
              </w:rPr>
              <w:t xml:space="preserve">  103.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G. Passzív időbeli elhatárolások (104.-106. sorok) 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10 050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4 950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15 000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nil"/>
              <w:lef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104.</w:t>
            </w: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Bevételek passzív időbeli elhatárolása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left w:val="single" w:sz="12" w:space="0" w:color="auto"/>
              <w:bottom w:val="nil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105.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Költségek, ráfordítások passzív időbeli</w:t>
            </w:r>
          </w:p>
          <w:p w:rsidR="00B246FB" w:rsidRPr="009E5CCD" w:rsidRDefault="00B246FB" w:rsidP="00B9281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 xml:space="preserve">       elhatárolása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 xml:space="preserve"> 4 659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4 950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9 609</w:t>
            </w:r>
          </w:p>
        </w:tc>
      </w:tr>
      <w:tr w:rsidR="00B246FB" w:rsidRPr="009E5CCD" w:rsidTr="00B9281B">
        <w:trPr>
          <w:trHeight w:hRule="exact" w:val="400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E5CCD">
              <w:rPr>
                <w:rFonts w:ascii="Times New Roman" w:hAnsi="Times New Roman" w:cs="Times New Roman"/>
                <w:sz w:val="18"/>
              </w:rPr>
              <w:t>106.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pStyle w:val="Cmsor2"/>
              <w:rPr>
                <w:b w:val="0"/>
                <w:sz w:val="18"/>
              </w:rPr>
            </w:pPr>
            <w:r w:rsidRPr="009E5CCD">
              <w:rPr>
                <w:b w:val="0"/>
                <w:sz w:val="18"/>
              </w:rPr>
              <w:t xml:space="preserve">       Halasztott bevételek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5 387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</w:rPr>
            </w:pPr>
            <w:r w:rsidRPr="009E5CCD">
              <w:rPr>
                <w:rFonts w:ascii="Times New Roman" w:hAnsi="Times New Roman" w:cs="Times New Roman"/>
              </w:rPr>
              <w:t>5 387</w:t>
            </w:r>
          </w:p>
        </w:tc>
      </w:tr>
    </w:tbl>
    <w:p w:rsidR="00B246FB" w:rsidRPr="009E5CCD" w:rsidRDefault="00B246FB" w:rsidP="00B246FB">
      <w:pPr>
        <w:rPr>
          <w:rFonts w:ascii="Times New Roman" w:hAnsi="Times New Roman" w:cs="Times New Roman"/>
          <w:sz w:val="16"/>
        </w:rPr>
      </w:pPr>
    </w:p>
    <w:tbl>
      <w:tblPr>
        <w:tblW w:w="1049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276"/>
        <w:gridCol w:w="1134"/>
        <w:gridCol w:w="1701"/>
      </w:tblGrid>
      <w:tr w:rsidR="00B246FB" w:rsidRPr="009E5CCD" w:rsidTr="00B9281B">
        <w:trPr>
          <w:cantSplit/>
          <w:trHeight w:hRule="exact" w:val="400"/>
        </w:trPr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246FB" w:rsidRPr="009E5CCD" w:rsidRDefault="00B246FB" w:rsidP="00B928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E5CCD">
              <w:rPr>
                <w:rFonts w:ascii="Times New Roman" w:hAnsi="Times New Roman" w:cs="Times New Roman"/>
                <w:b/>
                <w:sz w:val="18"/>
              </w:rPr>
              <w:t>107.</w:t>
            </w:r>
          </w:p>
        </w:tc>
        <w:tc>
          <w:tcPr>
            <w:tcW w:w="4253" w:type="dxa"/>
            <w:tcBorders>
              <w:left w:val="nil"/>
              <w:right w:val="single" w:sz="8" w:space="0" w:color="auto"/>
            </w:tcBorders>
            <w:vAlign w:val="center"/>
          </w:tcPr>
          <w:p w:rsidR="00B246FB" w:rsidRPr="009E5CCD" w:rsidRDefault="00B246FB" w:rsidP="00B9281B">
            <w:pPr>
              <w:pStyle w:val="Cmsor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CCD">
              <w:rPr>
                <w:rFonts w:ascii="Times New Roman" w:hAnsi="Times New Roman" w:cs="Times New Roman"/>
                <w:sz w:val="16"/>
                <w:szCs w:val="16"/>
              </w:rPr>
              <w:t>FORRÁSOK ÖSSZESEN (61.+72.+76.+103. sor)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2 057 746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196 630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-130 124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246FB" w:rsidRPr="009E5CCD" w:rsidRDefault="00B246FB" w:rsidP="00B9281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CCD">
              <w:rPr>
                <w:rFonts w:ascii="Times New Roman" w:hAnsi="Times New Roman" w:cs="Times New Roman"/>
                <w:b/>
              </w:rPr>
              <w:t>2 124 252</w:t>
            </w:r>
          </w:p>
        </w:tc>
      </w:tr>
    </w:tbl>
    <w:p w:rsidR="00B246FB" w:rsidRPr="009E5CCD" w:rsidRDefault="00B246FB" w:rsidP="00EF05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5CCD">
        <w:rPr>
          <w:rFonts w:ascii="Times New Roman" w:hAnsi="Times New Roman" w:cs="Times New Roman"/>
          <w:b/>
        </w:rPr>
        <w:t xml:space="preserve">5./ </w:t>
      </w:r>
      <w:r w:rsidRPr="009E5CCD">
        <w:rPr>
          <w:rFonts w:ascii="Times New Roman" w:hAnsi="Times New Roman" w:cs="Times New Roman"/>
          <w:b/>
          <w:u w:val="single"/>
        </w:rPr>
        <w:t>A tőkeszerkezet átrendezésének okai és megvalósításának módja</w:t>
      </w:r>
      <w:r w:rsidRPr="009E5CCD">
        <w:rPr>
          <w:rFonts w:ascii="Times New Roman" w:hAnsi="Times New Roman" w:cs="Times New Roman"/>
          <w:b/>
        </w:rPr>
        <w:t>:</w:t>
      </w: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 xml:space="preserve">A VHG Kft. beolvadás előtti jegyzett tőkéje 3.000 </w:t>
      </w:r>
      <w:proofErr w:type="spellStart"/>
      <w:r w:rsidRPr="009E5CCD">
        <w:rPr>
          <w:rFonts w:ascii="Times New Roman" w:hAnsi="Times New Roman" w:cs="Times New Roman"/>
        </w:rPr>
        <w:t>EFt</w:t>
      </w:r>
      <w:proofErr w:type="spellEnd"/>
      <w:r w:rsidRPr="009E5CCD">
        <w:rPr>
          <w:rFonts w:ascii="Times New Roman" w:hAnsi="Times New Roman" w:cs="Times New Roman"/>
        </w:rPr>
        <w:t xml:space="preserve">, a VKSZN Kft. egyesülés előtti jegyzett tőkéje 432.450 </w:t>
      </w:r>
      <w:proofErr w:type="spellStart"/>
      <w:r w:rsidRPr="009E5CCD">
        <w:rPr>
          <w:rFonts w:ascii="Times New Roman" w:hAnsi="Times New Roman" w:cs="Times New Roman"/>
        </w:rPr>
        <w:t>EFt</w:t>
      </w:r>
      <w:proofErr w:type="spellEnd"/>
      <w:r w:rsidRPr="009E5CCD">
        <w:rPr>
          <w:rFonts w:ascii="Times New Roman" w:hAnsi="Times New Roman" w:cs="Times New Roman"/>
        </w:rPr>
        <w:t xml:space="preserve">. A VHG Kft. jegyzett tőkéjéből 1.800 </w:t>
      </w:r>
      <w:proofErr w:type="spellStart"/>
      <w:r w:rsidRPr="009E5CCD">
        <w:rPr>
          <w:rFonts w:ascii="Times New Roman" w:hAnsi="Times New Roman" w:cs="Times New Roman"/>
        </w:rPr>
        <w:t>EFt</w:t>
      </w:r>
      <w:proofErr w:type="spellEnd"/>
      <w:r w:rsidRPr="009E5CCD">
        <w:rPr>
          <w:rFonts w:ascii="Times New Roman" w:hAnsi="Times New Roman" w:cs="Times New Roman"/>
        </w:rPr>
        <w:t xml:space="preserve">. Várpalota Város Önkormányzata, míg 1.200 </w:t>
      </w:r>
      <w:proofErr w:type="spellStart"/>
      <w:r w:rsidRPr="009E5CCD">
        <w:rPr>
          <w:rFonts w:ascii="Times New Roman" w:hAnsi="Times New Roman" w:cs="Times New Roman"/>
        </w:rPr>
        <w:t>EFt</w:t>
      </w:r>
      <w:proofErr w:type="spellEnd"/>
      <w:r w:rsidRPr="009E5CCD">
        <w:rPr>
          <w:rFonts w:ascii="Times New Roman" w:hAnsi="Times New Roman" w:cs="Times New Roman"/>
        </w:rPr>
        <w:t xml:space="preserve">. a VKSZN Kft. tulajdonában van. Beolvadás esetében a jogutód társaság jegyzett tőkéjének meghatározása során nem lehet figyelembe venni a beolvadó társaság azon vagyoni részesedésének értékét, amely az átvevő társaság tulajdonában van. </w:t>
      </w: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lastRenderedPageBreak/>
        <w:t xml:space="preserve">A jogutód VKSZN Kft. jegyzett tőkéjének meghatározása során a VHG Kft. jegyzett tőkéjéből csak a Várpalota Város Önkormányzata tulajdonában lévő 1.800 </w:t>
      </w:r>
      <w:proofErr w:type="spellStart"/>
      <w:r w:rsidRPr="009E5CCD">
        <w:rPr>
          <w:rFonts w:ascii="Times New Roman" w:hAnsi="Times New Roman" w:cs="Times New Roman"/>
        </w:rPr>
        <w:t>eFt</w:t>
      </w:r>
      <w:proofErr w:type="spellEnd"/>
      <w:r w:rsidRPr="009E5CCD">
        <w:rPr>
          <w:rFonts w:ascii="Times New Roman" w:hAnsi="Times New Roman" w:cs="Times New Roman"/>
        </w:rPr>
        <w:t xml:space="preserve">. értékű jegyzett tőke értéke vehető figyelembe, a VKSZN Kft, mint jogutód társaság tulajdonában lévő 1.200 </w:t>
      </w:r>
      <w:proofErr w:type="spellStart"/>
      <w:r w:rsidRPr="009E5CCD">
        <w:rPr>
          <w:rFonts w:ascii="Times New Roman" w:hAnsi="Times New Roman" w:cs="Times New Roman"/>
        </w:rPr>
        <w:t>eFt</w:t>
      </w:r>
      <w:proofErr w:type="spellEnd"/>
      <w:r w:rsidRPr="009E5CCD">
        <w:rPr>
          <w:rFonts w:ascii="Times New Roman" w:hAnsi="Times New Roman" w:cs="Times New Roman"/>
        </w:rPr>
        <w:t>. értékű jegyzett tőke pedig n</w:t>
      </w:r>
      <w:r w:rsidR="00F91F81" w:rsidRPr="009E5CCD">
        <w:rPr>
          <w:rFonts w:ascii="Times New Roman" w:hAnsi="Times New Roman" w:cs="Times New Roman"/>
        </w:rPr>
        <w:t xml:space="preserve">em vehető figyelembe. Emiatt a jogutód VKSZN Kft. beolvadás utáni jegyzett tőkéjét 434.250 </w:t>
      </w:r>
      <w:proofErr w:type="spellStart"/>
      <w:r w:rsidR="00F91F81" w:rsidRPr="009E5CCD">
        <w:rPr>
          <w:rFonts w:ascii="Times New Roman" w:hAnsi="Times New Roman" w:cs="Times New Roman"/>
        </w:rPr>
        <w:t>eFt</w:t>
      </w:r>
      <w:proofErr w:type="spellEnd"/>
      <w:r w:rsidR="00F91F81" w:rsidRPr="009E5CCD">
        <w:rPr>
          <w:rFonts w:ascii="Times New Roman" w:hAnsi="Times New Roman" w:cs="Times New Roman"/>
        </w:rPr>
        <w:t xml:space="preserve">. összegben indokolt meghatározni, tehát az egyszemélyes tulajdonos Várpalota Város Önkormányzata üzletrésze is ugyanekkora összegre emelkedik. </w:t>
      </w:r>
      <w:r w:rsidRPr="009E5CCD">
        <w:rPr>
          <w:rFonts w:ascii="Times New Roman" w:hAnsi="Times New Roman" w:cs="Times New Roman"/>
        </w:rPr>
        <w:t xml:space="preserve">  </w:t>
      </w: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0E6BC4" w:rsidRPr="009E5CCD" w:rsidRDefault="00F91F81" w:rsidP="000E6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  <w:b/>
        </w:rPr>
        <w:t>6./</w:t>
      </w:r>
      <w:r w:rsidRPr="009E5CCD">
        <w:rPr>
          <w:rFonts w:ascii="Times New Roman" w:hAnsi="Times New Roman" w:cs="Times New Roman"/>
          <w:b/>
          <w:u w:val="single"/>
        </w:rPr>
        <w:t xml:space="preserve"> </w:t>
      </w:r>
      <w:r w:rsidR="000E6BC4" w:rsidRPr="009E5CCD">
        <w:rPr>
          <w:rFonts w:ascii="Times New Roman" w:hAnsi="Times New Roman" w:cs="Times New Roman"/>
          <w:b/>
          <w:u w:val="single"/>
        </w:rPr>
        <w:t>A vagyonmérleg- és vagyonleltár-tervezetek ellenőrzése</w:t>
      </w:r>
      <w:r w:rsidR="000E6BC4" w:rsidRPr="009E5CCD">
        <w:rPr>
          <w:rFonts w:ascii="Times New Roman" w:hAnsi="Times New Roman" w:cs="Times New Roman"/>
        </w:rPr>
        <w:t>:</w:t>
      </w: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 xml:space="preserve">A vagyonmérleg- és vagyonleltár-tervezeteket független könyvvizsgálóval ellenőriztetni kell. Független könyvvizsgálóként javasoljuk megbízni Kocsisné Pálffy Gabriella (tagszáma: 000696, igazolvány száma: 000555, lakcíme: 8226 Alsóőrs, Sarló u. 8.) könyvvizsgálót, aki az előzetes megkeresésre úgy nyilatkozott, hogy a könyvvizsgálatot vállalja és megbízásával kapcsolatban kizáró vagy összeférhetetlenségi körülmény nem áll fenn.  </w:t>
      </w: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C4" w:rsidRPr="009E5CCD" w:rsidRDefault="000E6BC4" w:rsidP="000E6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>Az egyesülésben résztvevő társaságok felügyelő bizottságai a beolvadásról szóló végleges döntés meghozatalát megelőzően a vagyonmérleg- és vagyonleltár-tervezeteket – mivel mindkét társaság felügyelő bizottsága ugyanazon tagokból áll – együttes ülésükön ellenőrzik.</w:t>
      </w:r>
    </w:p>
    <w:p w:rsidR="00B246FB" w:rsidRPr="009E5CCD" w:rsidRDefault="00B246FB" w:rsidP="00EF05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C3B" w:rsidRPr="009E5CCD" w:rsidRDefault="00F91F81" w:rsidP="00EF0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  <w:b/>
        </w:rPr>
        <w:t xml:space="preserve">7./ </w:t>
      </w:r>
      <w:r w:rsidR="00595B18" w:rsidRPr="009E5CCD">
        <w:rPr>
          <w:rFonts w:ascii="Times New Roman" w:hAnsi="Times New Roman" w:cs="Times New Roman"/>
          <w:b/>
          <w:u w:val="single"/>
        </w:rPr>
        <w:t>Az egyesülési döntések meghozatalát követő feladatok</w:t>
      </w:r>
      <w:r w:rsidR="00595B18" w:rsidRPr="009E5CCD">
        <w:rPr>
          <w:rFonts w:ascii="Times New Roman" w:hAnsi="Times New Roman" w:cs="Times New Roman"/>
        </w:rPr>
        <w:t>:</w:t>
      </w:r>
    </w:p>
    <w:p w:rsidR="004B408E" w:rsidRPr="009E5CCD" w:rsidRDefault="004B408E" w:rsidP="00EF05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4DEF" w:rsidRPr="009E5CCD" w:rsidRDefault="00494DEF" w:rsidP="00EF0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 xml:space="preserve">Az egyesülésben részt vevő társaságok megállapodása szerint kijelölt társaság az átvevő (jogutód) társaság létesítő okiratának aláírását követő nyolc napon belül köteles a Cégközlönynél </w:t>
      </w:r>
      <w:r w:rsidRPr="009E5CCD">
        <w:rPr>
          <w:rFonts w:ascii="Times New Roman" w:hAnsi="Times New Roman" w:cs="Times New Roman"/>
          <w:u w:val="single"/>
        </w:rPr>
        <w:t>közlemény</w:t>
      </w:r>
      <w:r w:rsidRPr="009E5CCD">
        <w:rPr>
          <w:rFonts w:ascii="Times New Roman" w:hAnsi="Times New Roman" w:cs="Times New Roman"/>
        </w:rPr>
        <w:t xml:space="preserve"> közzétételét kezdeményezni, amelyet két egymást követő lapszámban kell közzétenni. A megfelelő tartalmú közlemény közzétételének kezdeményezésével ebben az esetben célszerűen az átvevő és jogutód VKSZN Kft. egyesülésben részt vevő tagot kijelölni.</w:t>
      </w:r>
    </w:p>
    <w:p w:rsidR="00494DEF" w:rsidRPr="009E5CCD" w:rsidRDefault="00494DEF" w:rsidP="00EF05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08E" w:rsidRPr="009E5CCD" w:rsidRDefault="00494DEF" w:rsidP="00EF0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>A beolvadás</w:t>
      </w:r>
      <w:r w:rsidR="004B408E" w:rsidRPr="009E5CCD">
        <w:rPr>
          <w:rFonts w:ascii="Times New Roman" w:hAnsi="Times New Roman" w:cs="Times New Roman"/>
        </w:rPr>
        <w:t xml:space="preserve"> elhatározásáról az egyesülésről véglegesen döntő döntéshozó szervi ülést követően tizenöt napon belül tájékoztatni kell az egyesülésben részt vevő társaságoknál működő munkaválla</w:t>
      </w:r>
      <w:r w:rsidRPr="009E5CCD">
        <w:rPr>
          <w:rFonts w:ascii="Times New Roman" w:hAnsi="Times New Roman" w:cs="Times New Roman"/>
        </w:rPr>
        <w:t>l</w:t>
      </w:r>
      <w:r w:rsidR="004B408E" w:rsidRPr="009E5CCD">
        <w:rPr>
          <w:rFonts w:ascii="Times New Roman" w:hAnsi="Times New Roman" w:cs="Times New Roman"/>
        </w:rPr>
        <w:t>ói érdekképviseleti szerveket, valamint szükség szerint a munkavállalókat.</w:t>
      </w:r>
      <w:r w:rsidRPr="009E5CCD">
        <w:rPr>
          <w:rFonts w:ascii="Times New Roman" w:hAnsi="Times New Roman" w:cs="Times New Roman"/>
        </w:rPr>
        <w:t xml:space="preserve"> A tájékoztatás megtörténtéért az egyesülésben részt vevő társaságok ügyvezetői a felelősek.</w:t>
      </w:r>
    </w:p>
    <w:p w:rsidR="00494DEF" w:rsidRPr="009E5CCD" w:rsidRDefault="00494DEF" w:rsidP="00EF05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2FFF" w:rsidRPr="009E5CCD" w:rsidRDefault="00494DEF" w:rsidP="00EF0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 xml:space="preserve">Az egyesülés a részt vevő társaságokkal szemben fennálló követeléseket nem szünteti meg. Az a hitelező, akinek az egyesüléssel érintett társasággal szemben fennálló követelése az egyesülésről hozott döntés első közzétételét megelőzően keletkezett, követelése erejéig az egyesülésben részt vevő társaságtól a döntés második közzétételét követő harmincnapos jogvesztő határidőn belül megfelelő </w:t>
      </w:r>
      <w:r w:rsidRPr="009E5CCD">
        <w:rPr>
          <w:rFonts w:ascii="Times New Roman" w:hAnsi="Times New Roman" w:cs="Times New Roman"/>
          <w:u w:val="single"/>
        </w:rPr>
        <w:t xml:space="preserve">biztosítékot </w:t>
      </w:r>
      <w:r w:rsidRPr="009E5CCD">
        <w:rPr>
          <w:rFonts w:ascii="Times New Roman" w:hAnsi="Times New Roman" w:cs="Times New Roman"/>
        </w:rPr>
        <w:t>követelhet, ha az egyesülés követelésének kielégítését veszélyezteti.</w:t>
      </w:r>
      <w:r w:rsidR="00782FFF" w:rsidRPr="009E5CCD">
        <w:rPr>
          <w:rFonts w:ascii="Times New Roman" w:hAnsi="Times New Roman" w:cs="Times New Roman"/>
        </w:rPr>
        <w:t xml:space="preserve"> Ha a tag helytállási kötelezettsége az egyesülésben részt vevő társaság kötelezettségeiért a társaság fennállása alatt korlátozott, a biztosíték nyújtására vonatkozó szabályokat csak akkor kell alkalmazni, ha az egyesülésről szóló döntés meghozatalakor a jogelőd társaságnak a saját tőke felénél magasabb köztartozása van, amelyre halasztást, fizetési könnyítést nem kapott, vagy az egyesülésről szóló döntés meghozatalakor a hitelező egyébként nem rendelkezik az egyesüléshez kapcsolódó kockázattal arányos biztosítékkal, vagy az egyesülésben részt vevő társaság egyesülés utáni pénzügyi, vagyoni helyzetére figyelemmel indokolt a biztosítékadás. </w:t>
      </w:r>
    </w:p>
    <w:p w:rsidR="00782FFF" w:rsidRPr="009E5CCD" w:rsidRDefault="00782FFF" w:rsidP="00EF05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2FFF" w:rsidRPr="009E5CCD" w:rsidRDefault="00782FFF" w:rsidP="00EF0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 xml:space="preserve">A két egyesülésben részt vevő társaság pénzügyi-vagyoni helyzetét figyelembe véve ilyen hitelezői igény nem várható, azonban csak a kétszeri közzétételt követő harminc nap lejárta után lehet erről ügyvezetői nyilatkozatot tenni és a cégváltozási iratokat a </w:t>
      </w:r>
      <w:r w:rsidRPr="009E5CCD">
        <w:rPr>
          <w:rFonts w:ascii="Times New Roman" w:hAnsi="Times New Roman" w:cs="Times New Roman"/>
          <w:u w:val="single"/>
        </w:rPr>
        <w:t>cégbírósághoz</w:t>
      </w:r>
      <w:r w:rsidRPr="009E5CCD">
        <w:rPr>
          <w:rFonts w:ascii="Times New Roman" w:hAnsi="Times New Roman" w:cs="Times New Roman"/>
        </w:rPr>
        <w:t xml:space="preserve"> benyújtani, amelynek valószínű időpontja 2019. június közepe. A cégváltozási iratokat a jogutód VKSZN Kft. ügyvezetésének kell a cégbírósághoz benyújtani. </w:t>
      </w:r>
    </w:p>
    <w:p w:rsidR="00782FFF" w:rsidRPr="009E5CCD" w:rsidRDefault="00782FFF" w:rsidP="00EF05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44DB" w:rsidRPr="009E5CCD" w:rsidRDefault="00782FFF" w:rsidP="00F91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 xml:space="preserve">A </w:t>
      </w:r>
      <w:r w:rsidR="00B246FB" w:rsidRPr="009E5CCD">
        <w:rPr>
          <w:rFonts w:ascii="Times New Roman" w:hAnsi="Times New Roman" w:cs="Times New Roman"/>
        </w:rPr>
        <w:t xml:space="preserve">változás bejegyzési eljárásban a jogutód VKSZN Kft. cégadatai </w:t>
      </w:r>
      <w:r w:rsidR="00B246FB" w:rsidRPr="009E5CCD">
        <w:rPr>
          <w:rFonts w:ascii="Times New Roman" w:hAnsi="Times New Roman" w:cs="Times New Roman"/>
          <w:u w:val="single"/>
        </w:rPr>
        <w:t>változásának bejegyzésével</w:t>
      </w:r>
      <w:r w:rsidR="00B246FB" w:rsidRPr="009E5CCD">
        <w:rPr>
          <w:rFonts w:ascii="Times New Roman" w:hAnsi="Times New Roman" w:cs="Times New Roman"/>
        </w:rPr>
        <w:t xml:space="preserve"> egyidejűleg a jogelőd VHG Kft. a cégbíróság a cégnyilvántartásból a jogutód feltüntetése mellett törli.</w:t>
      </w:r>
      <w:r w:rsidR="00F91F81" w:rsidRPr="009E5CCD">
        <w:rPr>
          <w:rFonts w:ascii="Times New Roman" w:hAnsi="Times New Roman" w:cs="Times New Roman"/>
        </w:rPr>
        <w:t xml:space="preserve"> Beolvadás esetén az átvevő társaságot a beolvadás bejegyzésekor a cégbíróság nem törli a </w:t>
      </w:r>
      <w:r w:rsidR="00F91F81" w:rsidRPr="009E5CCD">
        <w:rPr>
          <w:rFonts w:ascii="Times New Roman" w:hAnsi="Times New Roman" w:cs="Times New Roman"/>
        </w:rPr>
        <w:lastRenderedPageBreak/>
        <w:t xml:space="preserve">nyilvántartásból. </w:t>
      </w:r>
      <w:r w:rsidR="00B246FB" w:rsidRPr="009E5CCD">
        <w:rPr>
          <w:rFonts w:ascii="Times New Roman" w:hAnsi="Times New Roman" w:cs="Times New Roman"/>
        </w:rPr>
        <w:t>A változások bejegyzésig, illetve a beolvadó cég törléséig mindkét érintett társaság változatlan formában folytatja tevékenységét.</w:t>
      </w:r>
      <w:r w:rsidRPr="009E5CCD">
        <w:rPr>
          <w:rFonts w:ascii="Times New Roman" w:hAnsi="Times New Roman" w:cs="Times New Roman"/>
        </w:rPr>
        <w:t xml:space="preserve"> </w:t>
      </w:r>
    </w:p>
    <w:p w:rsidR="00B9100B" w:rsidRPr="009E5CCD" w:rsidRDefault="00B9100B" w:rsidP="00F91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F81" w:rsidRPr="009E5CCD" w:rsidRDefault="00F91F81" w:rsidP="00F91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CCD">
        <w:rPr>
          <w:rFonts w:ascii="Times New Roman" w:hAnsi="Times New Roman" w:cs="Times New Roman"/>
        </w:rPr>
        <w:t>Várpalota, 2019. április 26.</w:t>
      </w:r>
    </w:p>
    <w:p w:rsidR="00F91F81" w:rsidRPr="009E5CCD" w:rsidRDefault="00F91F81" w:rsidP="00F91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100B" w:rsidRPr="009E5CCD" w:rsidRDefault="00B9100B" w:rsidP="00B9100B">
      <w:pPr>
        <w:pStyle w:val="NormlWeb"/>
        <w:spacing w:before="0" w:beforeAutospacing="0" w:after="0" w:afterAutospacing="0"/>
        <w:jc w:val="both"/>
      </w:pPr>
      <w:r w:rsidRPr="009E5CCD">
        <w:t xml:space="preserve">          Beolvadó társaság </w:t>
      </w:r>
      <w:proofErr w:type="gramStart"/>
      <w:r w:rsidRPr="009E5CCD">
        <w:t xml:space="preserve">képviseletében:   </w:t>
      </w:r>
      <w:proofErr w:type="gramEnd"/>
      <w:r w:rsidRPr="009E5CCD">
        <w:t xml:space="preserve">                 Átvevő társaság képviseletében:</w:t>
      </w:r>
    </w:p>
    <w:p w:rsidR="00B9100B" w:rsidRPr="009E5CCD" w:rsidRDefault="00B9100B" w:rsidP="00B9100B">
      <w:pPr>
        <w:pStyle w:val="NormlWeb"/>
        <w:spacing w:before="0" w:beforeAutospacing="0" w:after="0" w:afterAutospacing="0"/>
        <w:jc w:val="both"/>
      </w:pPr>
    </w:p>
    <w:p w:rsidR="00B9100B" w:rsidRPr="009E5CCD" w:rsidRDefault="00B9100B" w:rsidP="00B9100B">
      <w:pPr>
        <w:pStyle w:val="NormlWeb"/>
        <w:spacing w:before="0" w:beforeAutospacing="0" w:after="0" w:afterAutospacing="0"/>
        <w:jc w:val="both"/>
      </w:pPr>
    </w:p>
    <w:p w:rsidR="00B9100B" w:rsidRPr="009E5CCD" w:rsidRDefault="00B9100B" w:rsidP="00B9100B">
      <w:pPr>
        <w:pStyle w:val="NormlWeb"/>
        <w:spacing w:before="0" w:beforeAutospacing="0" w:after="0" w:afterAutospacing="0"/>
        <w:jc w:val="both"/>
      </w:pPr>
    </w:p>
    <w:p w:rsidR="00B9100B" w:rsidRPr="009E5CCD" w:rsidRDefault="00B9100B" w:rsidP="00B9100B">
      <w:pPr>
        <w:pStyle w:val="NormlWeb"/>
        <w:spacing w:before="0" w:beforeAutospacing="0" w:after="0" w:afterAutospacing="0"/>
        <w:jc w:val="both"/>
      </w:pPr>
    </w:p>
    <w:p w:rsidR="00B9100B" w:rsidRPr="009E5CCD" w:rsidRDefault="00B9100B" w:rsidP="00B9100B">
      <w:pPr>
        <w:pStyle w:val="NormlWeb"/>
        <w:spacing w:before="0" w:beforeAutospacing="0" w:after="0" w:afterAutospacing="0"/>
        <w:jc w:val="both"/>
      </w:pPr>
      <w:r w:rsidRPr="009E5CCD">
        <w:t xml:space="preserve">                           Lakatos Tamás                                            Horváth Tamás József</w:t>
      </w:r>
    </w:p>
    <w:p w:rsidR="00F91F81" w:rsidRPr="00F91F81" w:rsidRDefault="00B9100B" w:rsidP="00B9100B">
      <w:pPr>
        <w:pStyle w:val="NormlWeb"/>
        <w:spacing w:before="0" w:beforeAutospacing="0" w:after="0" w:afterAutospacing="0"/>
        <w:jc w:val="both"/>
      </w:pPr>
      <w:r w:rsidRPr="009E5CCD">
        <w:t xml:space="preserve">                              </w:t>
      </w:r>
      <w:r w:rsidR="009E5CCD">
        <w:t>ü</w:t>
      </w:r>
      <w:r w:rsidRPr="009E5CCD">
        <w:t xml:space="preserve">gyvezető                                                          </w:t>
      </w:r>
      <w:proofErr w:type="spellStart"/>
      <w:r w:rsidR="009E5CCD">
        <w:t>ü</w:t>
      </w:r>
      <w:r w:rsidRPr="009E5CCD">
        <w:t>g</w:t>
      </w:r>
      <w:r>
        <w:t>yvezető</w:t>
      </w:r>
      <w:proofErr w:type="spellEnd"/>
    </w:p>
    <w:sectPr w:rsidR="00F91F81" w:rsidRPr="00F91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E98" w:rsidRDefault="00876E98" w:rsidP="00D844DB">
      <w:pPr>
        <w:spacing w:after="0" w:line="240" w:lineRule="auto"/>
      </w:pPr>
      <w:r>
        <w:separator/>
      </w:r>
    </w:p>
  </w:endnote>
  <w:endnote w:type="continuationSeparator" w:id="0">
    <w:p w:rsidR="00876E98" w:rsidRDefault="00876E98" w:rsidP="00D8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640699"/>
      <w:docPartObj>
        <w:docPartGallery w:val="Page Numbers (Bottom of Page)"/>
        <w:docPartUnique/>
      </w:docPartObj>
    </w:sdtPr>
    <w:sdtEndPr/>
    <w:sdtContent>
      <w:p w:rsidR="00D844DB" w:rsidRDefault="00D844D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C7">
          <w:rPr>
            <w:noProof/>
          </w:rPr>
          <w:t>8</w:t>
        </w:r>
        <w:r>
          <w:fldChar w:fldCharType="end"/>
        </w:r>
      </w:p>
    </w:sdtContent>
  </w:sdt>
  <w:p w:rsidR="00D844DB" w:rsidRDefault="00D844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E98" w:rsidRDefault="00876E98" w:rsidP="00D844DB">
      <w:pPr>
        <w:spacing w:after="0" w:line="240" w:lineRule="auto"/>
      </w:pPr>
      <w:r>
        <w:separator/>
      </w:r>
    </w:p>
  </w:footnote>
  <w:footnote w:type="continuationSeparator" w:id="0">
    <w:p w:rsidR="00876E98" w:rsidRDefault="00876E98" w:rsidP="00D8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103780"/>
      <w:docPartObj>
        <w:docPartGallery w:val="Page Numbers (Top of Page)"/>
        <w:docPartUnique/>
      </w:docPartObj>
    </w:sdtPr>
    <w:sdtEndPr/>
    <w:sdtContent>
      <w:p w:rsidR="00D844DB" w:rsidRDefault="00D844DB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C7">
          <w:rPr>
            <w:noProof/>
          </w:rPr>
          <w:t>8</w:t>
        </w:r>
        <w:r>
          <w:fldChar w:fldCharType="end"/>
        </w:r>
      </w:p>
    </w:sdtContent>
  </w:sdt>
  <w:p w:rsidR="00D844DB" w:rsidRDefault="00D844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1DA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1"/>
    <w:rsid w:val="000062DA"/>
    <w:rsid w:val="000066D2"/>
    <w:rsid w:val="00012427"/>
    <w:rsid w:val="00014464"/>
    <w:rsid w:val="00014C18"/>
    <w:rsid w:val="00032CAA"/>
    <w:rsid w:val="00033E4A"/>
    <w:rsid w:val="0003527C"/>
    <w:rsid w:val="0003656D"/>
    <w:rsid w:val="00047557"/>
    <w:rsid w:val="00047B57"/>
    <w:rsid w:val="00056389"/>
    <w:rsid w:val="00057480"/>
    <w:rsid w:val="00060385"/>
    <w:rsid w:val="00060542"/>
    <w:rsid w:val="00064FFD"/>
    <w:rsid w:val="00083223"/>
    <w:rsid w:val="00084810"/>
    <w:rsid w:val="000A1E11"/>
    <w:rsid w:val="000A5C1F"/>
    <w:rsid w:val="000B57C2"/>
    <w:rsid w:val="000C45FB"/>
    <w:rsid w:val="000C6E7E"/>
    <w:rsid w:val="000D6B14"/>
    <w:rsid w:val="000E6BC4"/>
    <w:rsid w:val="00111098"/>
    <w:rsid w:val="00113E49"/>
    <w:rsid w:val="001435AC"/>
    <w:rsid w:val="001507B0"/>
    <w:rsid w:val="0015123D"/>
    <w:rsid w:val="001523CF"/>
    <w:rsid w:val="001535D2"/>
    <w:rsid w:val="00154404"/>
    <w:rsid w:val="001604F3"/>
    <w:rsid w:val="00161082"/>
    <w:rsid w:val="00170495"/>
    <w:rsid w:val="00170D80"/>
    <w:rsid w:val="00173AE2"/>
    <w:rsid w:val="00175B17"/>
    <w:rsid w:val="0017615A"/>
    <w:rsid w:val="001770EA"/>
    <w:rsid w:val="00184676"/>
    <w:rsid w:val="00194AAE"/>
    <w:rsid w:val="001B1B94"/>
    <w:rsid w:val="001B585E"/>
    <w:rsid w:val="001C6472"/>
    <w:rsid w:val="001E28E7"/>
    <w:rsid w:val="001F1471"/>
    <w:rsid w:val="00201B05"/>
    <w:rsid w:val="00202314"/>
    <w:rsid w:val="002032F3"/>
    <w:rsid w:val="002036F5"/>
    <w:rsid w:val="00214715"/>
    <w:rsid w:val="00216197"/>
    <w:rsid w:val="002162DB"/>
    <w:rsid w:val="00221AD8"/>
    <w:rsid w:val="00234290"/>
    <w:rsid w:val="00234823"/>
    <w:rsid w:val="0023799F"/>
    <w:rsid w:val="0024334A"/>
    <w:rsid w:val="00244C4F"/>
    <w:rsid w:val="002477B3"/>
    <w:rsid w:val="00252B05"/>
    <w:rsid w:val="00253F03"/>
    <w:rsid w:val="002A7C86"/>
    <w:rsid w:val="002C3F2A"/>
    <w:rsid w:val="002C7EB0"/>
    <w:rsid w:val="002D54A9"/>
    <w:rsid w:val="002D595F"/>
    <w:rsid w:val="002E4EF2"/>
    <w:rsid w:val="002F1890"/>
    <w:rsid w:val="002F28A0"/>
    <w:rsid w:val="0030187F"/>
    <w:rsid w:val="003063F4"/>
    <w:rsid w:val="0032039C"/>
    <w:rsid w:val="003260C7"/>
    <w:rsid w:val="00333B2E"/>
    <w:rsid w:val="0034063F"/>
    <w:rsid w:val="00342E54"/>
    <w:rsid w:val="00346EAA"/>
    <w:rsid w:val="00350879"/>
    <w:rsid w:val="003541F4"/>
    <w:rsid w:val="00356243"/>
    <w:rsid w:val="00363A8A"/>
    <w:rsid w:val="00367B41"/>
    <w:rsid w:val="0037239A"/>
    <w:rsid w:val="00391179"/>
    <w:rsid w:val="00394E84"/>
    <w:rsid w:val="003A7A8C"/>
    <w:rsid w:val="003B65EE"/>
    <w:rsid w:val="003B7106"/>
    <w:rsid w:val="003C0BD6"/>
    <w:rsid w:val="003C6330"/>
    <w:rsid w:val="003D2B08"/>
    <w:rsid w:val="003D4A49"/>
    <w:rsid w:val="003D60FC"/>
    <w:rsid w:val="003E01B2"/>
    <w:rsid w:val="003F4A48"/>
    <w:rsid w:val="003F6300"/>
    <w:rsid w:val="00411D75"/>
    <w:rsid w:val="00427BE3"/>
    <w:rsid w:val="00427C1E"/>
    <w:rsid w:val="0043627E"/>
    <w:rsid w:val="0044017E"/>
    <w:rsid w:val="00441B7A"/>
    <w:rsid w:val="0044293B"/>
    <w:rsid w:val="00445A66"/>
    <w:rsid w:val="00451460"/>
    <w:rsid w:val="00462B51"/>
    <w:rsid w:val="004836B8"/>
    <w:rsid w:val="0048799F"/>
    <w:rsid w:val="00490A25"/>
    <w:rsid w:val="00494DEF"/>
    <w:rsid w:val="0049644A"/>
    <w:rsid w:val="004A2A8B"/>
    <w:rsid w:val="004A7C32"/>
    <w:rsid w:val="004B408E"/>
    <w:rsid w:val="004C2FDA"/>
    <w:rsid w:val="004C4793"/>
    <w:rsid w:val="004C4AD0"/>
    <w:rsid w:val="004C4E22"/>
    <w:rsid w:val="004D7A0B"/>
    <w:rsid w:val="004E3BC7"/>
    <w:rsid w:val="004E4C28"/>
    <w:rsid w:val="004F4568"/>
    <w:rsid w:val="004F6917"/>
    <w:rsid w:val="00502E11"/>
    <w:rsid w:val="0053017C"/>
    <w:rsid w:val="0053379B"/>
    <w:rsid w:val="00537698"/>
    <w:rsid w:val="0054780A"/>
    <w:rsid w:val="00550143"/>
    <w:rsid w:val="00563BE4"/>
    <w:rsid w:val="005744E3"/>
    <w:rsid w:val="00580E9E"/>
    <w:rsid w:val="0058253D"/>
    <w:rsid w:val="005903CD"/>
    <w:rsid w:val="00590402"/>
    <w:rsid w:val="0059293F"/>
    <w:rsid w:val="00595B18"/>
    <w:rsid w:val="005A19FE"/>
    <w:rsid w:val="005A4AE5"/>
    <w:rsid w:val="005B38E3"/>
    <w:rsid w:val="005B5A0F"/>
    <w:rsid w:val="005C2BF5"/>
    <w:rsid w:val="005C4E26"/>
    <w:rsid w:val="005D2DF3"/>
    <w:rsid w:val="005D3D7A"/>
    <w:rsid w:val="005D5ACB"/>
    <w:rsid w:val="005E66BB"/>
    <w:rsid w:val="005F28DA"/>
    <w:rsid w:val="00612740"/>
    <w:rsid w:val="00613EC6"/>
    <w:rsid w:val="00616747"/>
    <w:rsid w:val="00623071"/>
    <w:rsid w:val="00636E04"/>
    <w:rsid w:val="00656133"/>
    <w:rsid w:val="00666679"/>
    <w:rsid w:val="00674F61"/>
    <w:rsid w:val="006813BF"/>
    <w:rsid w:val="0068724E"/>
    <w:rsid w:val="00691D00"/>
    <w:rsid w:val="0069234B"/>
    <w:rsid w:val="006943A2"/>
    <w:rsid w:val="00695CBC"/>
    <w:rsid w:val="006A2EE7"/>
    <w:rsid w:val="006A34A5"/>
    <w:rsid w:val="006C00D3"/>
    <w:rsid w:val="006C5215"/>
    <w:rsid w:val="006D3B72"/>
    <w:rsid w:val="006E5DAF"/>
    <w:rsid w:val="006F7397"/>
    <w:rsid w:val="00701DFE"/>
    <w:rsid w:val="0070562E"/>
    <w:rsid w:val="00715C8B"/>
    <w:rsid w:val="00716E7B"/>
    <w:rsid w:val="007178AF"/>
    <w:rsid w:val="00720C68"/>
    <w:rsid w:val="007218E2"/>
    <w:rsid w:val="00742E6D"/>
    <w:rsid w:val="0074354C"/>
    <w:rsid w:val="00743550"/>
    <w:rsid w:val="0075193D"/>
    <w:rsid w:val="00770D34"/>
    <w:rsid w:val="00777AE2"/>
    <w:rsid w:val="00782FFF"/>
    <w:rsid w:val="007865B0"/>
    <w:rsid w:val="00791983"/>
    <w:rsid w:val="0079797A"/>
    <w:rsid w:val="007A2030"/>
    <w:rsid w:val="007C2058"/>
    <w:rsid w:val="007C3D90"/>
    <w:rsid w:val="007D011D"/>
    <w:rsid w:val="007D0596"/>
    <w:rsid w:val="007D5001"/>
    <w:rsid w:val="00802D2A"/>
    <w:rsid w:val="00806234"/>
    <w:rsid w:val="00821AE7"/>
    <w:rsid w:val="008278D5"/>
    <w:rsid w:val="00833549"/>
    <w:rsid w:val="00833758"/>
    <w:rsid w:val="00835351"/>
    <w:rsid w:val="008442FE"/>
    <w:rsid w:val="00850B76"/>
    <w:rsid w:val="00855B36"/>
    <w:rsid w:val="00860E2E"/>
    <w:rsid w:val="00863C74"/>
    <w:rsid w:val="00871EBE"/>
    <w:rsid w:val="0087671C"/>
    <w:rsid w:val="00876E98"/>
    <w:rsid w:val="00877139"/>
    <w:rsid w:val="008853A5"/>
    <w:rsid w:val="00890737"/>
    <w:rsid w:val="008A1D4E"/>
    <w:rsid w:val="008B30E2"/>
    <w:rsid w:val="008B70A5"/>
    <w:rsid w:val="008B748A"/>
    <w:rsid w:val="008C155D"/>
    <w:rsid w:val="008C5582"/>
    <w:rsid w:val="008D0667"/>
    <w:rsid w:val="008D7C55"/>
    <w:rsid w:val="008E1550"/>
    <w:rsid w:val="008E1CFF"/>
    <w:rsid w:val="008E72C1"/>
    <w:rsid w:val="0090667B"/>
    <w:rsid w:val="00914FC5"/>
    <w:rsid w:val="00930E4F"/>
    <w:rsid w:val="00952FDC"/>
    <w:rsid w:val="0095377E"/>
    <w:rsid w:val="00953B6C"/>
    <w:rsid w:val="00970DDA"/>
    <w:rsid w:val="00973956"/>
    <w:rsid w:val="009762E5"/>
    <w:rsid w:val="0098110F"/>
    <w:rsid w:val="009904E3"/>
    <w:rsid w:val="00997034"/>
    <w:rsid w:val="009A213B"/>
    <w:rsid w:val="009B381E"/>
    <w:rsid w:val="009C1FF3"/>
    <w:rsid w:val="009E2B1F"/>
    <w:rsid w:val="009E33D8"/>
    <w:rsid w:val="009E5CCD"/>
    <w:rsid w:val="009E7976"/>
    <w:rsid w:val="009F22A2"/>
    <w:rsid w:val="00A03EBE"/>
    <w:rsid w:val="00A1708B"/>
    <w:rsid w:val="00A17AEC"/>
    <w:rsid w:val="00A209E9"/>
    <w:rsid w:val="00A22CB9"/>
    <w:rsid w:val="00A33E67"/>
    <w:rsid w:val="00A47B2A"/>
    <w:rsid w:val="00A6180B"/>
    <w:rsid w:val="00A65E60"/>
    <w:rsid w:val="00A72082"/>
    <w:rsid w:val="00A72B71"/>
    <w:rsid w:val="00A77308"/>
    <w:rsid w:val="00A77E3A"/>
    <w:rsid w:val="00A842AF"/>
    <w:rsid w:val="00AB6850"/>
    <w:rsid w:val="00AC4E44"/>
    <w:rsid w:val="00AE2EF1"/>
    <w:rsid w:val="00B00A38"/>
    <w:rsid w:val="00B03B57"/>
    <w:rsid w:val="00B20ADF"/>
    <w:rsid w:val="00B246FB"/>
    <w:rsid w:val="00B26600"/>
    <w:rsid w:val="00B302C7"/>
    <w:rsid w:val="00B34116"/>
    <w:rsid w:val="00B35EF7"/>
    <w:rsid w:val="00B35FAF"/>
    <w:rsid w:val="00B53908"/>
    <w:rsid w:val="00B5419E"/>
    <w:rsid w:val="00B634E6"/>
    <w:rsid w:val="00B73A97"/>
    <w:rsid w:val="00B76ECE"/>
    <w:rsid w:val="00B84D83"/>
    <w:rsid w:val="00B90EFA"/>
    <w:rsid w:val="00B9100B"/>
    <w:rsid w:val="00B94DA3"/>
    <w:rsid w:val="00BA3A20"/>
    <w:rsid w:val="00BC10E9"/>
    <w:rsid w:val="00BC4722"/>
    <w:rsid w:val="00BE1CC0"/>
    <w:rsid w:val="00BE471D"/>
    <w:rsid w:val="00BF167B"/>
    <w:rsid w:val="00BF2D5C"/>
    <w:rsid w:val="00BF35AD"/>
    <w:rsid w:val="00BF5B47"/>
    <w:rsid w:val="00BF62F3"/>
    <w:rsid w:val="00C11CFA"/>
    <w:rsid w:val="00C14191"/>
    <w:rsid w:val="00C155CC"/>
    <w:rsid w:val="00C20182"/>
    <w:rsid w:val="00C25E0D"/>
    <w:rsid w:val="00C341F5"/>
    <w:rsid w:val="00C46904"/>
    <w:rsid w:val="00C56400"/>
    <w:rsid w:val="00C604E7"/>
    <w:rsid w:val="00C815C6"/>
    <w:rsid w:val="00C862A7"/>
    <w:rsid w:val="00C90D91"/>
    <w:rsid w:val="00C920F3"/>
    <w:rsid w:val="00CA3936"/>
    <w:rsid w:val="00CA73D8"/>
    <w:rsid w:val="00CC1045"/>
    <w:rsid w:val="00CC6AEB"/>
    <w:rsid w:val="00CE1407"/>
    <w:rsid w:val="00CE74D9"/>
    <w:rsid w:val="00CF0311"/>
    <w:rsid w:val="00D1744E"/>
    <w:rsid w:val="00D2294A"/>
    <w:rsid w:val="00D229DD"/>
    <w:rsid w:val="00D2318B"/>
    <w:rsid w:val="00D35096"/>
    <w:rsid w:val="00D37878"/>
    <w:rsid w:val="00D46DFB"/>
    <w:rsid w:val="00D57486"/>
    <w:rsid w:val="00D607CE"/>
    <w:rsid w:val="00D75AAC"/>
    <w:rsid w:val="00D831B3"/>
    <w:rsid w:val="00D844DB"/>
    <w:rsid w:val="00D862A2"/>
    <w:rsid w:val="00D86375"/>
    <w:rsid w:val="00D9215F"/>
    <w:rsid w:val="00D93A7C"/>
    <w:rsid w:val="00D93AA2"/>
    <w:rsid w:val="00D95636"/>
    <w:rsid w:val="00DA3BB0"/>
    <w:rsid w:val="00DC19BC"/>
    <w:rsid w:val="00DC1B02"/>
    <w:rsid w:val="00DC69BB"/>
    <w:rsid w:val="00DD126C"/>
    <w:rsid w:val="00DE087D"/>
    <w:rsid w:val="00DE1B5E"/>
    <w:rsid w:val="00DE3DC9"/>
    <w:rsid w:val="00E0447F"/>
    <w:rsid w:val="00E055A0"/>
    <w:rsid w:val="00E1328B"/>
    <w:rsid w:val="00E13C3B"/>
    <w:rsid w:val="00E15AC3"/>
    <w:rsid w:val="00E26B40"/>
    <w:rsid w:val="00E309EB"/>
    <w:rsid w:val="00E540F6"/>
    <w:rsid w:val="00E557CE"/>
    <w:rsid w:val="00E56288"/>
    <w:rsid w:val="00E90F80"/>
    <w:rsid w:val="00E94B1D"/>
    <w:rsid w:val="00E9620D"/>
    <w:rsid w:val="00EA701B"/>
    <w:rsid w:val="00EB1D72"/>
    <w:rsid w:val="00EC59B2"/>
    <w:rsid w:val="00ED2F1E"/>
    <w:rsid w:val="00ED50D8"/>
    <w:rsid w:val="00ED6A9E"/>
    <w:rsid w:val="00EE093C"/>
    <w:rsid w:val="00EF0515"/>
    <w:rsid w:val="00EF52F6"/>
    <w:rsid w:val="00F16A58"/>
    <w:rsid w:val="00F216D8"/>
    <w:rsid w:val="00F233C4"/>
    <w:rsid w:val="00F4660A"/>
    <w:rsid w:val="00F479FB"/>
    <w:rsid w:val="00F52F37"/>
    <w:rsid w:val="00F66F00"/>
    <w:rsid w:val="00F7077C"/>
    <w:rsid w:val="00F70956"/>
    <w:rsid w:val="00F72741"/>
    <w:rsid w:val="00F75DB2"/>
    <w:rsid w:val="00F77BB4"/>
    <w:rsid w:val="00F82063"/>
    <w:rsid w:val="00F83C36"/>
    <w:rsid w:val="00F86145"/>
    <w:rsid w:val="00F87D9D"/>
    <w:rsid w:val="00F90173"/>
    <w:rsid w:val="00F91F81"/>
    <w:rsid w:val="00FA2467"/>
    <w:rsid w:val="00FA63BC"/>
    <w:rsid w:val="00FC5C72"/>
    <w:rsid w:val="00FD05A1"/>
    <w:rsid w:val="00FD3CC0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F050"/>
  <w15:docId w15:val="{4BD2D1D0-70A1-490C-84A9-977B8CED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1B58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B585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5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1B58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58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B585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B585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58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58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Jegyzetszveg">
    <w:name w:val="annotation text"/>
    <w:basedOn w:val="Norml"/>
    <w:link w:val="JegyzetszvegChar"/>
    <w:semiHidden/>
    <w:rsid w:val="001B5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1B585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B58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D8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44DB"/>
  </w:style>
  <w:style w:type="paragraph" w:styleId="llb">
    <w:name w:val="footer"/>
    <w:basedOn w:val="Norml"/>
    <w:link w:val="llbChar"/>
    <w:uiPriority w:val="99"/>
    <w:unhideWhenUsed/>
    <w:rsid w:val="00D8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44DB"/>
  </w:style>
  <w:style w:type="paragraph" w:styleId="NormlWeb">
    <w:name w:val="Normal (Web)"/>
    <w:basedOn w:val="Norml"/>
    <w:rsid w:val="00B9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2796</Words>
  <Characters>19300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Beregi Zoltán</dc:creator>
  <cp:lastModifiedBy>Potóné Horváth Edit</cp:lastModifiedBy>
  <cp:revision>3</cp:revision>
  <dcterms:created xsi:type="dcterms:W3CDTF">2019-04-23T09:39:00Z</dcterms:created>
  <dcterms:modified xsi:type="dcterms:W3CDTF">2019-04-23T10:45:00Z</dcterms:modified>
</cp:coreProperties>
</file>